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D0A" w:rsidRPr="0082481C" w:rsidRDefault="00031D0A">
      <w:pPr>
        <w:tabs>
          <w:tab w:val="left" w:pos="2805"/>
        </w:tabs>
        <w:rPr>
          <w:rFonts w:ascii="Times New Roman" w:hAnsi="Times New Roman"/>
          <w:szCs w:val="24"/>
        </w:rPr>
      </w:pPr>
    </w:p>
    <w:p w:rsidR="00ED055D" w:rsidRPr="0082481C" w:rsidRDefault="00ED055D">
      <w:pPr>
        <w:tabs>
          <w:tab w:val="left" w:pos="2805"/>
        </w:tabs>
        <w:rPr>
          <w:rFonts w:ascii="Times New Roman" w:hAnsi="Times New Roman"/>
          <w:szCs w:val="24"/>
        </w:rPr>
      </w:pPr>
    </w:p>
    <w:p w:rsidR="00ED055D" w:rsidRPr="0082481C" w:rsidRDefault="00ED055D">
      <w:pPr>
        <w:tabs>
          <w:tab w:val="left" w:pos="2805"/>
        </w:tabs>
        <w:rPr>
          <w:rFonts w:ascii="Times New Roman" w:hAnsi="Times New Roman"/>
          <w:szCs w:val="24"/>
        </w:rPr>
      </w:pPr>
    </w:p>
    <w:p w:rsidR="00031D0A" w:rsidRPr="0082481C" w:rsidRDefault="00031D0A">
      <w:pPr>
        <w:tabs>
          <w:tab w:val="left" w:pos="2805"/>
        </w:tabs>
        <w:rPr>
          <w:rFonts w:ascii="Times New Roman" w:hAnsi="Times New Roman"/>
          <w:szCs w:val="24"/>
        </w:rPr>
      </w:pPr>
    </w:p>
    <w:p w:rsidR="00031D0A" w:rsidRPr="0082481C" w:rsidRDefault="00031D0A">
      <w:pPr>
        <w:tabs>
          <w:tab w:val="left" w:pos="2805"/>
        </w:tabs>
        <w:rPr>
          <w:rFonts w:ascii="Times New Roman" w:hAnsi="Times New Roman"/>
          <w:szCs w:val="24"/>
        </w:rPr>
      </w:pPr>
    </w:p>
    <w:p w:rsidR="00031D0A" w:rsidRPr="0082481C" w:rsidRDefault="00031D0A">
      <w:pPr>
        <w:tabs>
          <w:tab w:val="left" w:pos="2805"/>
        </w:tabs>
        <w:rPr>
          <w:rFonts w:ascii="Times New Roman" w:hAnsi="Times New Roman"/>
          <w:szCs w:val="24"/>
        </w:rPr>
      </w:pPr>
    </w:p>
    <w:p w:rsidR="00031D0A" w:rsidRPr="0082481C" w:rsidRDefault="00031D0A">
      <w:pPr>
        <w:tabs>
          <w:tab w:val="left" w:pos="2805"/>
        </w:tabs>
        <w:rPr>
          <w:rFonts w:ascii="Times New Roman" w:hAnsi="Times New Roman"/>
          <w:szCs w:val="24"/>
        </w:rPr>
      </w:pPr>
    </w:p>
    <w:p w:rsidR="00150059" w:rsidRPr="0082481C" w:rsidRDefault="00150059">
      <w:pPr>
        <w:tabs>
          <w:tab w:val="left" w:pos="2805"/>
        </w:tabs>
        <w:rPr>
          <w:rFonts w:ascii="Times New Roman" w:hAnsi="Times New Roman"/>
          <w:szCs w:val="24"/>
        </w:rPr>
      </w:pPr>
    </w:p>
    <w:p w:rsidR="00150059" w:rsidRPr="0082481C" w:rsidRDefault="00150059">
      <w:pPr>
        <w:tabs>
          <w:tab w:val="left" w:pos="2805"/>
        </w:tabs>
        <w:rPr>
          <w:rFonts w:ascii="Times New Roman" w:hAnsi="Times New Roman"/>
          <w:szCs w:val="24"/>
        </w:rPr>
      </w:pPr>
    </w:p>
    <w:p w:rsidR="00031D0A" w:rsidRPr="0082481C" w:rsidRDefault="00031D0A">
      <w:pPr>
        <w:tabs>
          <w:tab w:val="left" w:pos="2805"/>
        </w:tabs>
        <w:rPr>
          <w:rFonts w:ascii="Times New Roman" w:hAnsi="Times New Roman"/>
          <w:szCs w:val="24"/>
        </w:rPr>
      </w:pPr>
    </w:p>
    <w:p w:rsidR="00150059" w:rsidRPr="0082481C" w:rsidRDefault="00150059" w:rsidP="000D1F2C">
      <w:pPr>
        <w:rPr>
          <w:rFonts w:ascii="Times New Roman" w:hAnsi="Times New Roman"/>
        </w:rPr>
      </w:pPr>
    </w:p>
    <w:p w:rsidR="00150059" w:rsidRPr="0082481C" w:rsidRDefault="00150059" w:rsidP="000D1F2C">
      <w:pPr>
        <w:rPr>
          <w:rFonts w:ascii="Times New Roman" w:hAnsi="Times New Roman"/>
        </w:rPr>
      </w:pPr>
    </w:p>
    <w:p w:rsidR="00150059" w:rsidRPr="0082481C" w:rsidRDefault="00150059" w:rsidP="000D1F2C">
      <w:pPr>
        <w:rPr>
          <w:rFonts w:ascii="Times New Roman" w:hAnsi="Times New Roman"/>
        </w:rPr>
      </w:pPr>
    </w:p>
    <w:p w:rsidR="00150059" w:rsidRPr="0082481C" w:rsidRDefault="00150059" w:rsidP="000D1F2C">
      <w:pPr>
        <w:rPr>
          <w:rFonts w:ascii="Times New Roman" w:hAnsi="Times New Roman"/>
        </w:rPr>
      </w:pPr>
    </w:p>
    <w:p w:rsidR="00150059" w:rsidRPr="0082481C" w:rsidRDefault="00150059" w:rsidP="000D1F2C">
      <w:pPr>
        <w:rPr>
          <w:rFonts w:ascii="Times New Roman" w:hAnsi="Times New Roman"/>
        </w:rPr>
      </w:pPr>
    </w:p>
    <w:p w:rsidR="000D1F2C" w:rsidRPr="0082481C" w:rsidRDefault="00150059" w:rsidP="00150059">
      <w:pPr>
        <w:jc w:val="center"/>
        <w:rPr>
          <w:rFonts w:ascii="Times New Roman" w:hAnsi="Times New Roman"/>
          <w:b/>
          <w:sz w:val="34"/>
          <w:szCs w:val="34"/>
        </w:rPr>
      </w:pPr>
      <w:r w:rsidRPr="0082481C">
        <w:rPr>
          <w:rFonts w:ascii="Times New Roman" w:hAnsi="Times New Roman"/>
          <w:b/>
          <w:sz w:val="34"/>
          <w:szCs w:val="34"/>
        </w:rPr>
        <w:t xml:space="preserve">CAPITOLUL </w:t>
      </w:r>
      <w:r w:rsidR="00E26BDD" w:rsidRPr="0082481C">
        <w:rPr>
          <w:rFonts w:ascii="Times New Roman" w:hAnsi="Times New Roman"/>
          <w:b/>
          <w:sz w:val="34"/>
          <w:szCs w:val="34"/>
        </w:rPr>
        <w:t>2</w:t>
      </w:r>
    </w:p>
    <w:p w:rsidR="00150059" w:rsidRPr="0082481C" w:rsidRDefault="00150059" w:rsidP="00150059">
      <w:pPr>
        <w:jc w:val="center"/>
        <w:rPr>
          <w:rFonts w:ascii="Times New Roman" w:hAnsi="Times New Roman"/>
          <w:b/>
          <w:sz w:val="34"/>
          <w:szCs w:val="34"/>
        </w:rPr>
      </w:pPr>
    </w:p>
    <w:p w:rsidR="00150059" w:rsidRPr="0082481C" w:rsidRDefault="00150059" w:rsidP="00150059">
      <w:pPr>
        <w:jc w:val="center"/>
        <w:rPr>
          <w:rFonts w:ascii="Times New Roman" w:hAnsi="Times New Roman"/>
          <w:b/>
          <w:sz w:val="34"/>
          <w:szCs w:val="34"/>
        </w:rPr>
      </w:pPr>
    </w:p>
    <w:p w:rsidR="00150059" w:rsidRPr="0082481C" w:rsidRDefault="00150059" w:rsidP="00150059">
      <w:pPr>
        <w:jc w:val="center"/>
        <w:rPr>
          <w:rFonts w:ascii="Times New Roman" w:hAnsi="Times New Roman"/>
          <w:b/>
          <w:sz w:val="34"/>
          <w:szCs w:val="34"/>
        </w:rPr>
      </w:pPr>
    </w:p>
    <w:p w:rsidR="00150059" w:rsidRPr="0082481C" w:rsidRDefault="00A81191" w:rsidP="00150059">
      <w:pPr>
        <w:jc w:val="center"/>
        <w:rPr>
          <w:rFonts w:ascii="Times New Roman" w:hAnsi="Times New Roman"/>
          <w:b/>
          <w:sz w:val="34"/>
          <w:szCs w:val="34"/>
        </w:rPr>
      </w:pPr>
      <w:r w:rsidRPr="0082481C">
        <w:rPr>
          <w:rFonts w:ascii="Times New Roman" w:hAnsi="Times New Roman"/>
          <w:b/>
          <w:sz w:val="34"/>
          <w:szCs w:val="34"/>
        </w:rPr>
        <w:t>INFORMATII GENERALE</w:t>
      </w:r>
    </w:p>
    <w:p w:rsidR="000D1F2C" w:rsidRPr="0082481C" w:rsidRDefault="000D1F2C" w:rsidP="000D1F2C">
      <w:pPr>
        <w:jc w:val="center"/>
        <w:rPr>
          <w:rFonts w:ascii="Times New Roman" w:hAnsi="Times New Roman"/>
          <w:b/>
          <w:sz w:val="32"/>
          <w:szCs w:val="3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F4734F" w:rsidRPr="0082481C" w:rsidRDefault="00F4734F" w:rsidP="000D1F2C">
      <w:pPr>
        <w:rPr>
          <w:rFonts w:ascii="Times New Roman" w:hAnsi="Times New Roman"/>
          <w:sz w:val="22"/>
          <w:szCs w:val="22"/>
        </w:rPr>
      </w:pPr>
    </w:p>
    <w:p w:rsidR="00F4734F" w:rsidRPr="0082481C" w:rsidRDefault="00F4734F" w:rsidP="000D1F2C">
      <w:pPr>
        <w:rPr>
          <w:rFonts w:ascii="Times New Roman" w:hAnsi="Times New Roman"/>
          <w:sz w:val="22"/>
          <w:szCs w:val="22"/>
        </w:rPr>
      </w:pPr>
    </w:p>
    <w:p w:rsidR="00F4734F" w:rsidRPr="0082481C" w:rsidRDefault="00F4734F" w:rsidP="000D1F2C">
      <w:pPr>
        <w:rPr>
          <w:rFonts w:ascii="Times New Roman" w:hAnsi="Times New Roman"/>
          <w:sz w:val="22"/>
          <w:szCs w:val="22"/>
        </w:rPr>
      </w:pPr>
    </w:p>
    <w:p w:rsidR="00F4734F" w:rsidRPr="0082481C" w:rsidRDefault="00F4734F" w:rsidP="000D1F2C">
      <w:pPr>
        <w:rPr>
          <w:rFonts w:ascii="Times New Roman" w:hAnsi="Times New Roman"/>
          <w:sz w:val="22"/>
          <w:szCs w:val="22"/>
        </w:rPr>
      </w:pPr>
    </w:p>
    <w:p w:rsidR="00150059" w:rsidRPr="0082481C" w:rsidRDefault="00150059" w:rsidP="000D1F2C">
      <w:pPr>
        <w:rPr>
          <w:rFonts w:ascii="Times New Roman" w:hAnsi="Times New Roman"/>
          <w:sz w:val="22"/>
          <w:szCs w:val="22"/>
        </w:rPr>
      </w:pPr>
    </w:p>
    <w:p w:rsidR="00150059" w:rsidRPr="0082481C" w:rsidRDefault="00150059" w:rsidP="000D1F2C">
      <w:pPr>
        <w:rPr>
          <w:rFonts w:ascii="Times New Roman" w:hAnsi="Times New Roman"/>
          <w:sz w:val="22"/>
          <w:szCs w:val="22"/>
        </w:rPr>
      </w:pPr>
    </w:p>
    <w:p w:rsidR="00150059" w:rsidRPr="0082481C" w:rsidRDefault="00150059" w:rsidP="000D1F2C">
      <w:pPr>
        <w:rPr>
          <w:rFonts w:ascii="Times New Roman" w:hAnsi="Times New Roman"/>
          <w:sz w:val="22"/>
          <w:szCs w:val="22"/>
        </w:rPr>
      </w:pPr>
    </w:p>
    <w:p w:rsidR="00F4734F" w:rsidRPr="0082481C" w:rsidRDefault="00F4734F"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sdt>
      <w:sdtPr>
        <w:rPr>
          <w:rFonts w:ascii="Times New Roman" w:hAnsi="Times New Roman"/>
          <w:bCs/>
          <w:szCs w:val="24"/>
        </w:rPr>
        <w:id w:val="11699041"/>
        <w:docPartObj>
          <w:docPartGallery w:val="Table of Contents"/>
          <w:docPartUnique/>
        </w:docPartObj>
      </w:sdtPr>
      <w:sdtEndPr/>
      <w:sdtContent>
        <w:p w:rsidR="000D1F2C" w:rsidRPr="0082481C" w:rsidRDefault="000D1F2C" w:rsidP="000D1F2C">
          <w:pPr>
            <w:spacing w:after="120"/>
            <w:rPr>
              <w:rFonts w:ascii="Times New Roman" w:hAnsi="Times New Roman"/>
              <w:bCs/>
              <w:szCs w:val="24"/>
            </w:rPr>
          </w:pPr>
          <w:r w:rsidRPr="0082481C">
            <w:rPr>
              <w:rFonts w:ascii="Times New Roman" w:hAnsi="Times New Roman"/>
              <w:b/>
              <w:bCs/>
              <w:szCs w:val="24"/>
            </w:rPr>
            <w:t>Cuprins</w:t>
          </w:r>
        </w:p>
        <w:p w:rsidR="00571937" w:rsidRPr="0082481C" w:rsidRDefault="00B11797">
          <w:pPr>
            <w:pStyle w:val="TOC2"/>
            <w:rPr>
              <w:rFonts w:ascii="Times New Roman" w:eastAsiaTheme="minorEastAsia" w:hAnsi="Times New Roman"/>
              <w:sz w:val="22"/>
              <w:szCs w:val="22"/>
              <w:lang w:val="en-US"/>
            </w:rPr>
          </w:pPr>
          <w:r w:rsidRPr="0082481C">
            <w:rPr>
              <w:rFonts w:ascii="Times New Roman" w:hAnsi="Times New Roman"/>
              <w:bCs/>
              <w:szCs w:val="24"/>
            </w:rPr>
            <w:fldChar w:fldCharType="begin"/>
          </w:r>
          <w:r w:rsidR="000D1F2C" w:rsidRPr="0082481C">
            <w:rPr>
              <w:rFonts w:ascii="Times New Roman" w:hAnsi="Times New Roman"/>
              <w:bCs/>
              <w:szCs w:val="24"/>
            </w:rPr>
            <w:instrText xml:space="preserve"> TOC \o "1-3" \h \z \u </w:instrText>
          </w:r>
          <w:r w:rsidRPr="0082481C">
            <w:rPr>
              <w:rFonts w:ascii="Times New Roman" w:hAnsi="Times New Roman"/>
              <w:bCs/>
              <w:szCs w:val="24"/>
            </w:rPr>
            <w:fldChar w:fldCharType="separate"/>
          </w:r>
          <w:hyperlink w:anchor="_Toc402773064" w:history="1">
            <w:r w:rsidR="00571937" w:rsidRPr="0082481C">
              <w:rPr>
                <w:rStyle w:val="Hyperlink"/>
                <w:rFonts w:ascii="Times New Roman" w:eastAsiaTheme="majorEastAsia" w:hAnsi="Times New Roman"/>
              </w:rPr>
              <w:t>2.</w:t>
            </w:r>
            <w:r w:rsidR="00571937" w:rsidRPr="0082481C">
              <w:rPr>
                <w:rFonts w:ascii="Times New Roman" w:eastAsiaTheme="minorEastAsia" w:hAnsi="Times New Roman"/>
                <w:sz w:val="22"/>
                <w:szCs w:val="22"/>
                <w:lang w:val="en-US"/>
              </w:rPr>
              <w:tab/>
            </w:r>
            <w:r w:rsidR="00571937" w:rsidRPr="0082481C">
              <w:rPr>
                <w:rStyle w:val="Hyperlink"/>
                <w:rFonts w:ascii="Times New Roman" w:eastAsiaTheme="majorEastAsia" w:hAnsi="Times New Roman"/>
              </w:rPr>
              <w:t>INFORMATII GENERALE</w:t>
            </w:r>
            <w:r w:rsidR="00571937" w:rsidRPr="0082481C">
              <w:rPr>
                <w:rFonts w:ascii="Times New Roman" w:hAnsi="Times New Roman"/>
                <w:webHidden/>
              </w:rPr>
              <w:tab/>
            </w:r>
            <w:r w:rsidRPr="0082481C">
              <w:rPr>
                <w:rFonts w:ascii="Times New Roman" w:hAnsi="Times New Roman"/>
                <w:webHidden/>
              </w:rPr>
              <w:fldChar w:fldCharType="begin"/>
            </w:r>
            <w:r w:rsidR="00571937" w:rsidRPr="0082481C">
              <w:rPr>
                <w:rFonts w:ascii="Times New Roman" w:hAnsi="Times New Roman"/>
                <w:webHidden/>
              </w:rPr>
              <w:instrText xml:space="preserve"> PAGEREF _Toc402773064 \h </w:instrText>
            </w:r>
            <w:r w:rsidRPr="0082481C">
              <w:rPr>
                <w:rFonts w:ascii="Times New Roman" w:hAnsi="Times New Roman"/>
                <w:webHidden/>
              </w:rPr>
            </w:r>
            <w:r w:rsidRPr="0082481C">
              <w:rPr>
                <w:rFonts w:ascii="Times New Roman" w:hAnsi="Times New Roman"/>
                <w:webHidden/>
              </w:rPr>
              <w:fldChar w:fldCharType="separate"/>
            </w:r>
            <w:r w:rsidR="00571937" w:rsidRPr="0082481C">
              <w:rPr>
                <w:rFonts w:ascii="Times New Roman" w:hAnsi="Times New Roman"/>
                <w:webHidden/>
              </w:rPr>
              <w:t>3</w:t>
            </w:r>
            <w:r w:rsidRPr="0082481C">
              <w:rPr>
                <w:rFonts w:ascii="Times New Roman" w:hAnsi="Times New Roman"/>
                <w:webHidden/>
              </w:rPr>
              <w:fldChar w:fldCharType="end"/>
            </w:r>
          </w:hyperlink>
        </w:p>
        <w:p w:rsidR="00571937" w:rsidRPr="0082481C" w:rsidRDefault="00FF007F">
          <w:pPr>
            <w:pStyle w:val="TOC2"/>
            <w:rPr>
              <w:rFonts w:ascii="Times New Roman" w:eastAsiaTheme="minorEastAsia" w:hAnsi="Times New Roman"/>
              <w:sz w:val="22"/>
              <w:szCs w:val="22"/>
              <w:lang w:val="en-US"/>
            </w:rPr>
          </w:pPr>
          <w:hyperlink w:anchor="_Toc402773065" w:history="1">
            <w:r w:rsidR="00571937" w:rsidRPr="0082481C">
              <w:rPr>
                <w:rStyle w:val="Hyperlink"/>
                <w:rFonts w:ascii="Times New Roman" w:eastAsiaTheme="majorEastAsia" w:hAnsi="Times New Roman"/>
              </w:rPr>
              <w:t>2.1</w:t>
            </w:r>
            <w:r w:rsidR="00571937" w:rsidRPr="0082481C">
              <w:rPr>
                <w:rFonts w:ascii="Times New Roman" w:eastAsiaTheme="minorEastAsia" w:hAnsi="Times New Roman"/>
                <w:sz w:val="22"/>
                <w:szCs w:val="22"/>
                <w:lang w:val="en-US"/>
              </w:rPr>
              <w:tab/>
            </w:r>
            <w:r w:rsidR="00571937" w:rsidRPr="0082481C">
              <w:rPr>
                <w:rStyle w:val="Hyperlink"/>
                <w:rFonts w:ascii="Times New Roman" w:eastAsiaTheme="majorEastAsia" w:hAnsi="Times New Roman"/>
              </w:rPr>
              <w:t>Introducere</w:t>
            </w:r>
            <w:r w:rsidR="00571937" w:rsidRPr="0082481C">
              <w:rPr>
                <w:rFonts w:ascii="Times New Roman" w:hAnsi="Times New Roman"/>
                <w:webHidden/>
              </w:rPr>
              <w:tab/>
            </w:r>
            <w:r w:rsidR="00B11797" w:rsidRPr="0082481C">
              <w:rPr>
                <w:rFonts w:ascii="Times New Roman" w:hAnsi="Times New Roman"/>
                <w:webHidden/>
              </w:rPr>
              <w:fldChar w:fldCharType="begin"/>
            </w:r>
            <w:r w:rsidR="00571937" w:rsidRPr="0082481C">
              <w:rPr>
                <w:rFonts w:ascii="Times New Roman" w:hAnsi="Times New Roman"/>
                <w:webHidden/>
              </w:rPr>
              <w:instrText xml:space="preserve"> PAGEREF _Toc402773065 \h </w:instrText>
            </w:r>
            <w:r w:rsidR="00B11797" w:rsidRPr="0082481C">
              <w:rPr>
                <w:rFonts w:ascii="Times New Roman" w:hAnsi="Times New Roman"/>
                <w:webHidden/>
              </w:rPr>
            </w:r>
            <w:r w:rsidR="00B11797" w:rsidRPr="0082481C">
              <w:rPr>
                <w:rFonts w:ascii="Times New Roman" w:hAnsi="Times New Roman"/>
                <w:webHidden/>
              </w:rPr>
              <w:fldChar w:fldCharType="separate"/>
            </w:r>
            <w:r w:rsidR="00571937" w:rsidRPr="0082481C">
              <w:rPr>
                <w:rFonts w:ascii="Times New Roman" w:hAnsi="Times New Roman"/>
                <w:webHidden/>
              </w:rPr>
              <w:t>3</w:t>
            </w:r>
            <w:r w:rsidR="00B11797" w:rsidRPr="0082481C">
              <w:rPr>
                <w:rFonts w:ascii="Times New Roman" w:hAnsi="Times New Roman"/>
                <w:webHidden/>
              </w:rPr>
              <w:fldChar w:fldCharType="end"/>
            </w:r>
          </w:hyperlink>
        </w:p>
        <w:p w:rsidR="00571937" w:rsidRPr="0082481C" w:rsidRDefault="00FF007F">
          <w:pPr>
            <w:pStyle w:val="TOC2"/>
            <w:rPr>
              <w:rFonts w:ascii="Times New Roman" w:eastAsiaTheme="minorEastAsia" w:hAnsi="Times New Roman"/>
              <w:sz w:val="22"/>
              <w:szCs w:val="22"/>
              <w:lang w:val="en-US"/>
            </w:rPr>
          </w:pPr>
          <w:hyperlink w:anchor="_Toc402773066" w:history="1">
            <w:r w:rsidR="00571937" w:rsidRPr="0082481C">
              <w:rPr>
                <w:rStyle w:val="Hyperlink"/>
                <w:rFonts w:ascii="Times New Roman" w:eastAsiaTheme="majorEastAsia" w:hAnsi="Times New Roman"/>
              </w:rPr>
              <w:t>2.2</w:t>
            </w:r>
            <w:r w:rsidR="00571937" w:rsidRPr="0082481C">
              <w:rPr>
                <w:rFonts w:ascii="Times New Roman" w:eastAsiaTheme="minorEastAsia" w:hAnsi="Times New Roman"/>
                <w:sz w:val="22"/>
                <w:szCs w:val="22"/>
                <w:lang w:val="en-US"/>
              </w:rPr>
              <w:tab/>
            </w:r>
            <w:r w:rsidR="00571937" w:rsidRPr="0082481C">
              <w:rPr>
                <w:rStyle w:val="Hyperlink"/>
                <w:rFonts w:ascii="Times New Roman" w:eastAsiaTheme="majorEastAsia" w:hAnsi="Times New Roman"/>
              </w:rPr>
              <w:t>Zona de proiect</w:t>
            </w:r>
            <w:r w:rsidR="00571937" w:rsidRPr="0082481C">
              <w:rPr>
                <w:rFonts w:ascii="Times New Roman" w:hAnsi="Times New Roman"/>
                <w:webHidden/>
              </w:rPr>
              <w:tab/>
            </w:r>
            <w:r w:rsidR="00B11797" w:rsidRPr="0082481C">
              <w:rPr>
                <w:rFonts w:ascii="Times New Roman" w:hAnsi="Times New Roman"/>
                <w:webHidden/>
              </w:rPr>
              <w:fldChar w:fldCharType="begin"/>
            </w:r>
            <w:r w:rsidR="00571937" w:rsidRPr="0082481C">
              <w:rPr>
                <w:rFonts w:ascii="Times New Roman" w:hAnsi="Times New Roman"/>
                <w:webHidden/>
              </w:rPr>
              <w:instrText xml:space="preserve"> PAGEREF _Toc402773066 \h </w:instrText>
            </w:r>
            <w:r w:rsidR="00B11797" w:rsidRPr="0082481C">
              <w:rPr>
                <w:rFonts w:ascii="Times New Roman" w:hAnsi="Times New Roman"/>
                <w:webHidden/>
              </w:rPr>
            </w:r>
            <w:r w:rsidR="00B11797" w:rsidRPr="0082481C">
              <w:rPr>
                <w:rFonts w:ascii="Times New Roman" w:hAnsi="Times New Roman"/>
                <w:webHidden/>
              </w:rPr>
              <w:fldChar w:fldCharType="separate"/>
            </w:r>
            <w:r w:rsidR="00571937" w:rsidRPr="0082481C">
              <w:rPr>
                <w:rFonts w:ascii="Times New Roman" w:hAnsi="Times New Roman"/>
                <w:webHidden/>
              </w:rPr>
              <w:t>3</w:t>
            </w:r>
            <w:r w:rsidR="00B11797" w:rsidRPr="0082481C">
              <w:rPr>
                <w:rFonts w:ascii="Times New Roman" w:hAnsi="Times New Roman"/>
                <w:webHidden/>
              </w:rPr>
              <w:fldChar w:fldCharType="end"/>
            </w:r>
          </w:hyperlink>
        </w:p>
        <w:p w:rsidR="000D1F2C" w:rsidRPr="0082481C" w:rsidRDefault="00B11797" w:rsidP="000D1F2C">
          <w:pPr>
            <w:spacing w:before="0" w:after="120"/>
            <w:rPr>
              <w:rFonts w:ascii="Times New Roman" w:hAnsi="Times New Roman"/>
              <w:bCs/>
              <w:szCs w:val="24"/>
            </w:rPr>
          </w:pPr>
          <w:r w:rsidRPr="0082481C">
            <w:rPr>
              <w:rFonts w:ascii="Times New Roman" w:hAnsi="Times New Roman"/>
              <w:bCs/>
              <w:szCs w:val="24"/>
            </w:rPr>
            <w:fldChar w:fldCharType="end"/>
          </w:r>
        </w:p>
      </w:sdtContent>
    </w:sdt>
    <w:p w:rsidR="000D1F2C" w:rsidRPr="0082481C" w:rsidRDefault="000D1F2C" w:rsidP="000D1F2C">
      <w:pPr>
        <w:tabs>
          <w:tab w:val="left" w:pos="2805"/>
        </w:tabs>
        <w:rPr>
          <w:rFonts w:ascii="Times New Roman" w:hAnsi="Times New Roman"/>
          <w:szCs w:val="24"/>
        </w:rPr>
      </w:pPr>
    </w:p>
    <w:p w:rsidR="000D1F2C" w:rsidRPr="0082481C" w:rsidRDefault="000D1F2C" w:rsidP="000D1F2C">
      <w:pPr>
        <w:tabs>
          <w:tab w:val="left" w:pos="2805"/>
        </w:tabs>
        <w:rPr>
          <w:rFonts w:ascii="Times New Roman" w:hAnsi="Times New Roman"/>
          <w:szCs w:val="24"/>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0D1F2C" w:rsidRPr="0082481C" w:rsidRDefault="000D1F2C"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290363" w:rsidRPr="0082481C" w:rsidRDefault="00290363" w:rsidP="000D1F2C">
      <w:pPr>
        <w:rPr>
          <w:rFonts w:ascii="Times New Roman" w:hAnsi="Times New Roman"/>
          <w:sz w:val="22"/>
          <w:szCs w:val="22"/>
        </w:rPr>
      </w:pPr>
    </w:p>
    <w:p w:rsidR="00571937" w:rsidRPr="0082481C" w:rsidRDefault="00571937" w:rsidP="00571937">
      <w:pPr>
        <w:pStyle w:val="Heading2"/>
        <w:spacing w:line="240" w:lineRule="auto"/>
        <w:ind w:left="720"/>
        <w:rPr>
          <w:rFonts w:ascii="Times New Roman" w:hAnsi="Times New Roman" w:cs="Times New Roman"/>
          <w:color w:val="auto"/>
          <w:sz w:val="24"/>
          <w:szCs w:val="24"/>
        </w:rPr>
      </w:pPr>
      <w:bookmarkStart w:id="0" w:name="_Toc402773064"/>
    </w:p>
    <w:p w:rsidR="00031D0A" w:rsidRPr="0082481C" w:rsidRDefault="00A81191" w:rsidP="00FE3B5A">
      <w:pPr>
        <w:pStyle w:val="Heading2"/>
        <w:numPr>
          <w:ilvl w:val="0"/>
          <w:numId w:val="34"/>
        </w:numPr>
        <w:spacing w:line="240" w:lineRule="auto"/>
        <w:rPr>
          <w:rFonts w:ascii="Times New Roman" w:hAnsi="Times New Roman" w:cs="Times New Roman"/>
          <w:color w:val="auto"/>
          <w:sz w:val="24"/>
          <w:szCs w:val="24"/>
        </w:rPr>
      </w:pPr>
      <w:r w:rsidRPr="0082481C">
        <w:rPr>
          <w:rFonts w:ascii="Times New Roman" w:hAnsi="Times New Roman" w:cs="Times New Roman"/>
          <w:color w:val="auto"/>
          <w:sz w:val="24"/>
          <w:szCs w:val="24"/>
        </w:rPr>
        <w:t>INFORMATII GENERALE</w:t>
      </w:r>
      <w:bookmarkEnd w:id="0"/>
    </w:p>
    <w:p w:rsidR="00031D0A" w:rsidRPr="0082481C" w:rsidRDefault="00A81191" w:rsidP="00FE3B5A">
      <w:pPr>
        <w:pStyle w:val="Heading2"/>
        <w:numPr>
          <w:ilvl w:val="1"/>
          <w:numId w:val="35"/>
        </w:numPr>
        <w:spacing w:line="240" w:lineRule="auto"/>
        <w:rPr>
          <w:rFonts w:ascii="Times New Roman" w:hAnsi="Times New Roman" w:cs="Times New Roman"/>
          <w:color w:val="auto"/>
          <w:sz w:val="24"/>
          <w:szCs w:val="24"/>
        </w:rPr>
      </w:pPr>
      <w:bookmarkStart w:id="1" w:name="_Toc402773065"/>
      <w:r w:rsidRPr="0082481C">
        <w:rPr>
          <w:rFonts w:ascii="Times New Roman" w:hAnsi="Times New Roman" w:cs="Times New Roman"/>
          <w:color w:val="auto"/>
          <w:sz w:val="24"/>
          <w:szCs w:val="24"/>
        </w:rPr>
        <w:t>Introducere</w:t>
      </w:r>
      <w:bookmarkEnd w:id="1"/>
    </w:p>
    <w:p w:rsidR="008418C4" w:rsidRPr="0082481C" w:rsidRDefault="008418C4" w:rsidP="000F7B81">
      <w:pPr>
        <w:autoSpaceDE w:val="0"/>
        <w:autoSpaceDN w:val="0"/>
        <w:adjustRightInd w:val="0"/>
        <w:spacing w:before="0" w:after="120"/>
        <w:rPr>
          <w:rFonts w:ascii="Times New Roman" w:eastAsiaTheme="minorHAnsi" w:hAnsi="Times New Roman"/>
          <w:szCs w:val="24"/>
        </w:rPr>
      </w:pPr>
      <w:r w:rsidRPr="0082481C">
        <w:rPr>
          <w:rFonts w:ascii="Times New Roman" w:eastAsiaTheme="minorHAnsi" w:hAnsi="Times New Roman"/>
          <w:szCs w:val="24"/>
        </w:rPr>
        <w:t>Ca urmare a aderarii României la Uniunea Europeana si a semnarii Tratatului de Aderare, tara noastra s-a angajat sa se conformeze obligatiilor legale ce revin din semnarea acestui tratat. In ceea ce priveste investitiile propuse, acestea trebuie sa contribuie la conformarea României cu obligatiile Tratatului de Aderare in ceea ce priveste:</w:t>
      </w:r>
    </w:p>
    <w:p w:rsidR="008418C4" w:rsidRPr="0082481C" w:rsidRDefault="008418C4" w:rsidP="000F7B81">
      <w:pPr>
        <w:pStyle w:val="ListParagraph"/>
        <w:numPr>
          <w:ilvl w:val="0"/>
          <w:numId w:val="7"/>
        </w:numPr>
        <w:autoSpaceDE w:val="0"/>
        <w:autoSpaceDN w:val="0"/>
        <w:adjustRightInd w:val="0"/>
        <w:spacing w:before="0" w:after="120"/>
        <w:ind w:left="360"/>
        <w:rPr>
          <w:rFonts w:ascii="Times New Roman" w:eastAsiaTheme="minorHAnsi" w:hAnsi="Times New Roman"/>
          <w:szCs w:val="24"/>
        </w:rPr>
      </w:pPr>
      <w:r w:rsidRPr="0082481C">
        <w:rPr>
          <w:rFonts w:ascii="Times New Roman" w:eastAsiaTheme="minorHAnsi" w:hAnsi="Times New Roman"/>
          <w:szCs w:val="24"/>
        </w:rPr>
        <w:t>Directiva Consiliului 98/83/EEC cu privire la calitatea apei destinate consumului uman;</w:t>
      </w:r>
    </w:p>
    <w:p w:rsidR="008418C4" w:rsidRPr="0082481C" w:rsidRDefault="008418C4" w:rsidP="000F7B81">
      <w:pPr>
        <w:pStyle w:val="ListParagraph"/>
        <w:numPr>
          <w:ilvl w:val="0"/>
          <w:numId w:val="7"/>
        </w:numPr>
        <w:autoSpaceDE w:val="0"/>
        <w:autoSpaceDN w:val="0"/>
        <w:adjustRightInd w:val="0"/>
        <w:spacing w:before="0" w:after="120"/>
        <w:ind w:left="360"/>
        <w:rPr>
          <w:rFonts w:ascii="Times New Roman" w:eastAsiaTheme="minorHAnsi" w:hAnsi="Times New Roman"/>
          <w:szCs w:val="24"/>
        </w:rPr>
      </w:pPr>
      <w:r w:rsidRPr="0082481C">
        <w:rPr>
          <w:rFonts w:ascii="Times New Roman" w:eastAsiaTheme="minorHAnsi" w:hAnsi="Times New Roman"/>
          <w:szCs w:val="24"/>
        </w:rPr>
        <w:t>Directiva Consiliului 91/271/EEC privind epurarea apelor urbane uzate.</w:t>
      </w:r>
    </w:p>
    <w:p w:rsidR="008418C4" w:rsidRDefault="008418C4" w:rsidP="000F7B81">
      <w:pPr>
        <w:pStyle w:val="ListBullet"/>
        <w:numPr>
          <w:ilvl w:val="0"/>
          <w:numId w:val="0"/>
        </w:numPr>
        <w:spacing w:before="0" w:after="120"/>
        <w:rPr>
          <w:rFonts w:ascii="Times New Roman" w:hAnsi="Times New Roman"/>
          <w:szCs w:val="24"/>
        </w:rPr>
      </w:pPr>
      <w:r w:rsidRPr="0082481C">
        <w:rPr>
          <w:rFonts w:ascii="Times New Roman" w:hAnsi="Times New Roman"/>
          <w:szCs w:val="24"/>
        </w:rPr>
        <w:t xml:space="preserve">In vederea atingerii tintelor de conformare, Operatorul Regional – </w:t>
      </w:r>
      <w:r w:rsidR="00ED055D" w:rsidRPr="0082481C">
        <w:rPr>
          <w:rFonts w:ascii="Times New Roman" w:hAnsi="Times New Roman"/>
        </w:rPr>
        <w:t>Compania de apă Arad</w:t>
      </w:r>
      <w:r w:rsidRPr="0082481C">
        <w:rPr>
          <w:rFonts w:ascii="Times New Roman" w:hAnsi="Times New Roman"/>
          <w:szCs w:val="24"/>
        </w:rPr>
        <w:t xml:space="preserve">. -  implementeaza, in cadrul POS Mediu 2007 – 2013, Axa Prioritara 1, </w:t>
      </w:r>
      <w:r w:rsidRPr="0082481C">
        <w:rPr>
          <w:rFonts w:ascii="Times New Roman" w:hAnsi="Times New Roman"/>
          <w:b/>
          <w:i/>
          <w:szCs w:val="24"/>
        </w:rPr>
        <w:t xml:space="preserve">„Extinderea infrastructurii de apa si apa uzata in judetul </w:t>
      </w:r>
      <w:r w:rsidR="00ED055D" w:rsidRPr="0082481C">
        <w:rPr>
          <w:rFonts w:ascii="Times New Roman" w:hAnsi="Times New Roman"/>
          <w:b/>
          <w:i/>
          <w:szCs w:val="24"/>
        </w:rPr>
        <w:t>Arad</w:t>
      </w:r>
      <w:r w:rsidRPr="0082481C">
        <w:rPr>
          <w:rFonts w:ascii="Times New Roman" w:hAnsi="Times New Roman"/>
          <w:b/>
          <w:i/>
          <w:szCs w:val="24"/>
        </w:rPr>
        <w:t>”</w:t>
      </w:r>
      <w:r w:rsidRPr="0082481C">
        <w:rPr>
          <w:rFonts w:ascii="Times New Roman" w:hAnsi="Times New Roman"/>
          <w:szCs w:val="24"/>
        </w:rPr>
        <w:t xml:space="preserve"> proiectul ce cuprinde investitii in tratarea si distributia apei potabile precum si colectarea si epurarea apelor uzate in </w:t>
      </w:r>
      <w:r w:rsidR="00ED055D" w:rsidRPr="0082481C">
        <w:rPr>
          <w:rFonts w:ascii="Times New Roman" w:hAnsi="Times New Roman"/>
          <w:szCs w:val="24"/>
        </w:rPr>
        <w:t>Arad, Fantanele, Curtici, Macea, Santana, Ineu, Siria, Pancota, Ghioroc, Cuvin, Minis, Paulis, Pecica, Lipova, Nadlac</w:t>
      </w:r>
      <w:r w:rsidRPr="0082481C">
        <w:rPr>
          <w:rFonts w:ascii="Times New Roman" w:hAnsi="Times New Roman"/>
          <w:szCs w:val="24"/>
        </w:rPr>
        <w:t xml:space="preserve">. Printre obiectivele specifice ale acestui proiect, relevante pentru acest Studiu de </w:t>
      </w:r>
      <w:r w:rsidR="0071254F" w:rsidRPr="0082481C">
        <w:rPr>
          <w:rFonts w:ascii="Times New Roman" w:hAnsi="Times New Roman"/>
          <w:szCs w:val="24"/>
        </w:rPr>
        <w:t>Fezabilitate, su</w:t>
      </w:r>
      <w:r w:rsidRPr="0082481C">
        <w:rPr>
          <w:rFonts w:ascii="Times New Roman" w:hAnsi="Times New Roman"/>
          <w:szCs w:val="24"/>
        </w:rPr>
        <w:t>nt urmatoarele:</w:t>
      </w:r>
    </w:p>
    <w:p w:rsidR="00394559" w:rsidRPr="00394559" w:rsidRDefault="00394559" w:rsidP="00394559">
      <w:pPr>
        <w:pStyle w:val="ListParagraph"/>
        <w:numPr>
          <w:ilvl w:val="0"/>
          <w:numId w:val="7"/>
        </w:numPr>
        <w:autoSpaceDE w:val="0"/>
        <w:autoSpaceDN w:val="0"/>
        <w:adjustRightInd w:val="0"/>
        <w:spacing w:before="0" w:after="120"/>
        <w:ind w:left="360"/>
        <w:rPr>
          <w:rFonts w:ascii="Times New Roman" w:eastAsiaTheme="minorHAnsi" w:hAnsi="Times New Roman"/>
          <w:szCs w:val="24"/>
        </w:rPr>
      </w:pPr>
      <w:r w:rsidRPr="00394559">
        <w:rPr>
          <w:rFonts w:ascii="Times New Roman" w:eastAsiaTheme="minorHAnsi" w:hAnsi="Times New Roman"/>
          <w:szCs w:val="24"/>
        </w:rPr>
        <w:t>Imbunatatirea accesului la servicii de alimentare cu apa de calitate in aria de proiect, in conformitate cu Directiva de Apa 98/83/CEE in aria de proiect, de la 66% in 2008 la 100%</w:t>
      </w:r>
      <w:r>
        <w:rPr>
          <w:rFonts w:ascii="Times New Roman" w:eastAsiaTheme="minorHAnsi" w:hAnsi="Times New Roman"/>
          <w:szCs w:val="24"/>
        </w:rPr>
        <w:t xml:space="preserve"> dupa implementarea</w:t>
      </w:r>
      <w:r w:rsidRPr="00394559">
        <w:rPr>
          <w:rFonts w:ascii="Times New Roman" w:eastAsiaTheme="minorHAnsi" w:hAnsi="Times New Roman"/>
          <w:szCs w:val="24"/>
        </w:rPr>
        <w:t xml:space="preserve"> proiect</w:t>
      </w:r>
      <w:r>
        <w:rPr>
          <w:rFonts w:ascii="Times New Roman" w:eastAsiaTheme="minorHAnsi" w:hAnsi="Times New Roman"/>
          <w:szCs w:val="24"/>
        </w:rPr>
        <w:t>ului</w:t>
      </w:r>
      <w:r w:rsidRPr="00394559">
        <w:rPr>
          <w:rFonts w:ascii="Times New Roman" w:eastAsiaTheme="minorHAnsi" w:hAnsi="Times New Roman"/>
          <w:szCs w:val="24"/>
        </w:rPr>
        <w:t>;</w:t>
      </w:r>
    </w:p>
    <w:p w:rsidR="00394559" w:rsidRPr="00394559" w:rsidRDefault="00394559" w:rsidP="00394559">
      <w:pPr>
        <w:pStyle w:val="ListParagraph"/>
        <w:numPr>
          <w:ilvl w:val="0"/>
          <w:numId w:val="7"/>
        </w:numPr>
        <w:autoSpaceDE w:val="0"/>
        <w:autoSpaceDN w:val="0"/>
        <w:adjustRightInd w:val="0"/>
        <w:spacing w:before="0" w:after="120"/>
        <w:ind w:left="360"/>
        <w:rPr>
          <w:rFonts w:ascii="Times New Roman" w:eastAsiaTheme="minorHAnsi" w:hAnsi="Times New Roman"/>
          <w:szCs w:val="24"/>
        </w:rPr>
      </w:pPr>
      <w:r w:rsidRPr="00394559">
        <w:rPr>
          <w:rFonts w:ascii="Times New Roman" w:eastAsiaTheme="minorHAnsi" w:hAnsi="Times New Roman"/>
          <w:szCs w:val="24"/>
        </w:rPr>
        <w:t>Cresterea gradului de acoperire cu servicii de colect</w:t>
      </w:r>
      <w:r w:rsidR="00496035">
        <w:rPr>
          <w:rFonts w:ascii="Times New Roman" w:eastAsiaTheme="minorHAnsi" w:hAnsi="Times New Roman"/>
          <w:szCs w:val="24"/>
        </w:rPr>
        <w:t>a</w:t>
      </w:r>
      <w:r w:rsidRPr="00394559">
        <w:rPr>
          <w:rFonts w:ascii="Times New Roman" w:eastAsiaTheme="minorHAnsi" w:hAnsi="Times New Roman"/>
          <w:szCs w:val="24"/>
        </w:rPr>
        <w:t>re a apelor uzate la nivelul ariei de proiect, in conformitate cu Directiva privind Apele U</w:t>
      </w:r>
      <w:r w:rsidR="005D05EC">
        <w:rPr>
          <w:rFonts w:ascii="Times New Roman" w:eastAsiaTheme="minorHAnsi" w:hAnsi="Times New Roman"/>
          <w:szCs w:val="24"/>
        </w:rPr>
        <w:t>zate Urbane 91/271/CEE de la 43,</w:t>
      </w:r>
      <w:r w:rsidRPr="00394559">
        <w:rPr>
          <w:rFonts w:ascii="Times New Roman" w:eastAsiaTheme="minorHAnsi" w:hAnsi="Times New Roman"/>
          <w:szCs w:val="24"/>
        </w:rPr>
        <w:t xml:space="preserve">68% in anul 2007 la 82% </w:t>
      </w:r>
      <w:r>
        <w:rPr>
          <w:rFonts w:ascii="Times New Roman" w:eastAsiaTheme="minorHAnsi" w:hAnsi="Times New Roman"/>
          <w:szCs w:val="24"/>
        </w:rPr>
        <w:t>dupa implementarea</w:t>
      </w:r>
      <w:r w:rsidRPr="00394559">
        <w:rPr>
          <w:rFonts w:ascii="Times New Roman" w:eastAsiaTheme="minorHAnsi" w:hAnsi="Times New Roman"/>
          <w:szCs w:val="24"/>
        </w:rPr>
        <w:t xml:space="preserve"> proiect</w:t>
      </w:r>
      <w:r>
        <w:rPr>
          <w:rFonts w:ascii="Times New Roman" w:eastAsiaTheme="minorHAnsi" w:hAnsi="Times New Roman"/>
          <w:szCs w:val="24"/>
        </w:rPr>
        <w:t>ului</w:t>
      </w:r>
      <w:r w:rsidRPr="00394559">
        <w:rPr>
          <w:rFonts w:ascii="Times New Roman" w:eastAsiaTheme="minorHAnsi" w:hAnsi="Times New Roman"/>
          <w:szCs w:val="24"/>
        </w:rPr>
        <w:t>;</w:t>
      </w:r>
      <w:r>
        <w:rPr>
          <w:rFonts w:ascii="Times New Roman" w:eastAsiaTheme="minorHAnsi" w:hAnsi="Times New Roman"/>
          <w:szCs w:val="24"/>
        </w:rPr>
        <w:t xml:space="preserve"> </w:t>
      </w:r>
    </w:p>
    <w:p w:rsidR="00394559" w:rsidRPr="00394559" w:rsidRDefault="00394559" w:rsidP="00394559">
      <w:pPr>
        <w:pStyle w:val="ListParagraph"/>
        <w:numPr>
          <w:ilvl w:val="0"/>
          <w:numId w:val="7"/>
        </w:numPr>
        <w:autoSpaceDE w:val="0"/>
        <w:autoSpaceDN w:val="0"/>
        <w:adjustRightInd w:val="0"/>
        <w:spacing w:before="0" w:after="120"/>
        <w:ind w:left="360"/>
        <w:rPr>
          <w:rFonts w:ascii="Times New Roman" w:eastAsiaTheme="minorHAnsi" w:hAnsi="Times New Roman"/>
          <w:szCs w:val="24"/>
        </w:rPr>
      </w:pPr>
      <w:r w:rsidRPr="00394559">
        <w:rPr>
          <w:rFonts w:ascii="Times New Roman" w:eastAsiaTheme="minorHAnsi" w:hAnsi="Times New Roman"/>
          <w:szCs w:val="24"/>
        </w:rPr>
        <w:t>Reducerea pierderilor de apa in sistemele de alimentare cu apa, asigurarea continuitatii furnizarii serviciilor, reducerea costului interventiilor pentru reparatii, protejarea calitatii apei potabile si a apelor freatice prin reabilitarea retelelor de distributie si a aductiunilor.</w:t>
      </w:r>
    </w:p>
    <w:p w:rsidR="00394559" w:rsidRPr="00394559" w:rsidRDefault="00394559" w:rsidP="00394559">
      <w:pPr>
        <w:pStyle w:val="ListParagraph"/>
        <w:numPr>
          <w:ilvl w:val="0"/>
          <w:numId w:val="7"/>
        </w:numPr>
        <w:autoSpaceDE w:val="0"/>
        <w:autoSpaceDN w:val="0"/>
        <w:adjustRightInd w:val="0"/>
        <w:spacing w:before="0" w:after="120"/>
        <w:ind w:left="360"/>
        <w:rPr>
          <w:rFonts w:ascii="Times New Roman" w:eastAsiaTheme="minorHAnsi" w:hAnsi="Times New Roman"/>
          <w:szCs w:val="24"/>
        </w:rPr>
      </w:pPr>
      <w:r w:rsidRPr="00394559">
        <w:rPr>
          <w:rFonts w:ascii="Times New Roman" w:eastAsiaTheme="minorHAnsi" w:hAnsi="Times New Roman"/>
          <w:szCs w:val="24"/>
        </w:rPr>
        <w:t>Imbunatatirea performantelor statiilor de epurare dela Pecica si Siria prin marirea capacitatii; construirea unor noi statii de epurare in conformitate cu Directiva privind Apele Uzate Urbane 91/271/CEE;</w:t>
      </w:r>
    </w:p>
    <w:p w:rsidR="00394559" w:rsidRPr="00394559" w:rsidRDefault="00394559" w:rsidP="00394559">
      <w:pPr>
        <w:pStyle w:val="ListParagraph"/>
        <w:numPr>
          <w:ilvl w:val="0"/>
          <w:numId w:val="7"/>
        </w:numPr>
        <w:autoSpaceDE w:val="0"/>
        <w:autoSpaceDN w:val="0"/>
        <w:adjustRightInd w:val="0"/>
        <w:spacing w:before="0" w:after="120"/>
        <w:ind w:left="360"/>
        <w:rPr>
          <w:rFonts w:ascii="Times New Roman" w:eastAsiaTheme="minorHAnsi" w:hAnsi="Times New Roman"/>
          <w:szCs w:val="24"/>
        </w:rPr>
      </w:pPr>
      <w:r w:rsidRPr="00394559">
        <w:rPr>
          <w:rFonts w:ascii="Times New Roman" w:eastAsiaTheme="minorHAnsi" w:hAnsi="Times New Roman"/>
          <w:szCs w:val="24"/>
        </w:rPr>
        <w:t>Imbunatatirea managementului namolului in statia de epurare Arad prin creearea unei facilitati de tratare a namolului cu var rezultat in urma procesului de epurare a apelor</w:t>
      </w:r>
      <w:r>
        <w:rPr>
          <w:rFonts w:ascii="Times New Roman" w:eastAsiaTheme="minorHAnsi" w:hAnsi="Times New Roman"/>
          <w:szCs w:val="24"/>
        </w:rPr>
        <w:t xml:space="preserve"> u</w:t>
      </w:r>
      <w:r w:rsidRPr="00394559">
        <w:rPr>
          <w:rFonts w:ascii="Times New Roman" w:eastAsiaTheme="minorHAnsi" w:hAnsi="Times New Roman"/>
          <w:szCs w:val="24"/>
        </w:rPr>
        <w:t xml:space="preserve">zate </w:t>
      </w:r>
    </w:p>
    <w:p w:rsidR="008418C4" w:rsidRPr="00394559" w:rsidRDefault="008418C4" w:rsidP="00394559">
      <w:pPr>
        <w:autoSpaceDE w:val="0"/>
        <w:autoSpaceDN w:val="0"/>
        <w:adjustRightInd w:val="0"/>
        <w:spacing w:before="0" w:after="120"/>
        <w:rPr>
          <w:rFonts w:ascii="Times New Roman" w:hAnsi="Times New Roman"/>
          <w:szCs w:val="24"/>
        </w:rPr>
      </w:pPr>
      <w:r w:rsidRPr="00394559">
        <w:rPr>
          <w:rFonts w:ascii="Times New Roman" w:hAnsi="Times New Roman"/>
          <w:szCs w:val="24"/>
        </w:rPr>
        <w:t>Proiectul promovat de catre Operatorul Regional</w:t>
      </w:r>
      <w:r w:rsidR="00764F68" w:rsidRPr="00394559">
        <w:rPr>
          <w:rFonts w:ascii="Times New Roman" w:hAnsi="Times New Roman"/>
          <w:szCs w:val="24"/>
        </w:rPr>
        <w:t xml:space="preserve"> </w:t>
      </w:r>
      <w:r w:rsidR="00764F68" w:rsidRPr="00394559">
        <w:rPr>
          <w:rFonts w:ascii="Times New Roman" w:hAnsi="Times New Roman"/>
        </w:rPr>
        <w:t>COMPANIA DE APĂ ARAD</w:t>
      </w:r>
      <w:r w:rsidRPr="00394559">
        <w:rPr>
          <w:rFonts w:ascii="Times New Roman" w:hAnsi="Times New Roman"/>
          <w:szCs w:val="24"/>
        </w:rPr>
        <w:t xml:space="preserve">, </w:t>
      </w:r>
      <w:r w:rsidR="00764F68" w:rsidRPr="00394559">
        <w:rPr>
          <w:rFonts w:ascii="Times New Roman" w:hAnsi="Times New Roman"/>
          <w:szCs w:val="24"/>
        </w:rPr>
        <w:t xml:space="preserve">prezentul </w:t>
      </w:r>
      <w:r w:rsidRPr="00394559">
        <w:rPr>
          <w:rFonts w:ascii="Times New Roman" w:hAnsi="Times New Roman"/>
          <w:szCs w:val="24"/>
        </w:rPr>
        <w:t>proiect constituie o completare a proiectului finantat din Fondul de Coeziune</w:t>
      </w:r>
      <w:r w:rsidR="00671584" w:rsidRPr="00394559">
        <w:rPr>
          <w:rFonts w:ascii="Times New Roman" w:hAnsi="Times New Roman"/>
          <w:szCs w:val="24"/>
        </w:rPr>
        <w:t xml:space="preserve"> prin POS Mediu 2007 – 2013, ava</w:t>
      </w:r>
      <w:r w:rsidRPr="00394559">
        <w:rPr>
          <w:rFonts w:ascii="Times New Roman" w:hAnsi="Times New Roman"/>
          <w:szCs w:val="24"/>
        </w:rPr>
        <w:t xml:space="preserve">nd ca obiectiv general si specific, atingerea conformarii privind indicatorii de performanta aferenti </w:t>
      </w:r>
      <w:r w:rsidR="00764F68" w:rsidRPr="00394559">
        <w:rPr>
          <w:rFonts w:ascii="Times New Roman" w:hAnsi="Times New Roman"/>
          <w:szCs w:val="24"/>
        </w:rPr>
        <w:t>imbunatatirii infrastructurii de apa pota</w:t>
      </w:r>
      <w:r w:rsidR="00725AE2">
        <w:rPr>
          <w:rFonts w:ascii="Times New Roman" w:hAnsi="Times New Roman"/>
          <w:szCs w:val="24"/>
        </w:rPr>
        <w:t>bile (realizare statii de trare</w:t>
      </w:r>
      <w:r w:rsidR="00764F68" w:rsidRPr="00394559">
        <w:rPr>
          <w:rFonts w:ascii="Times New Roman" w:hAnsi="Times New Roman"/>
          <w:szCs w:val="24"/>
        </w:rPr>
        <w:t>) si apa uzata (realizar</w:t>
      </w:r>
      <w:r w:rsidR="00725AE2">
        <w:rPr>
          <w:rFonts w:ascii="Times New Roman" w:hAnsi="Times New Roman"/>
          <w:szCs w:val="24"/>
        </w:rPr>
        <w:t>e statii de pompare apa uzata).</w:t>
      </w:r>
    </w:p>
    <w:p w:rsidR="008418C4" w:rsidRPr="0082481C" w:rsidRDefault="008418C4" w:rsidP="006E0034">
      <w:pPr>
        <w:autoSpaceDE w:val="0"/>
        <w:autoSpaceDN w:val="0"/>
        <w:adjustRightInd w:val="0"/>
        <w:spacing w:before="0"/>
        <w:rPr>
          <w:rFonts w:ascii="Times New Roman" w:eastAsiaTheme="minorHAnsi" w:hAnsi="Times New Roman"/>
          <w:szCs w:val="24"/>
        </w:rPr>
      </w:pPr>
    </w:p>
    <w:p w:rsidR="00FE3B5A" w:rsidRPr="0082481C" w:rsidRDefault="00290363" w:rsidP="00290363">
      <w:pPr>
        <w:pStyle w:val="Heading2"/>
        <w:numPr>
          <w:ilvl w:val="1"/>
          <w:numId w:val="35"/>
        </w:numPr>
        <w:spacing w:line="240" w:lineRule="auto"/>
        <w:rPr>
          <w:rFonts w:ascii="Times New Roman" w:hAnsi="Times New Roman" w:cs="Times New Roman"/>
          <w:color w:val="auto"/>
          <w:sz w:val="24"/>
          <w:szCs w:val="24"/>
        </w:rPr>
      </w:pPr>
      <w:bookmarkStart w:id="2" w:name="_Toc402773066"/>
      <w:r w:rsidRPr="0082481C">
        <w:rPr>
          <w:rFonts w:ascii="Times New Roman" w:hAnsi="Times New Roman" w:cs="Times New Roman"/>
          <w:color w:val="auto"/>
          <w:sz w:val="24"/>
          <w:szCs w:val="24"/>
        </w:rPr>
        <w:t>Zona de proiect</w:t>
      </w:r>
      <w:bookmarkEnd w:id="2"/>
    </w:p>
    <w:p w:rsidR="000D43B1" w:rsidRPr="000D43B1" w:rsidRDefault="000D43B1" w:rsidP="000D43B1">
      <w:pPr>
        <w:spacing w:before="0" w:after="120"/>
        <w:rPr>
          <w:rFonts w:ascii="Times New Roman" w:hAnsi="Times New Roman"/>
          <w:szCs w:val="24"/>
        </w:rPr>
      </w:pPr>
      <w:r w:rsidRPr="000D43B1">
        <w:rPr>
          <w:rFonts w:ascii="Times New Roman" w:hAnsi="Times New Roman"/>
          <w:szCs w:val="24"/>
        </w:rPr>
        <w:t>Judeţul Arad este situat în partea de vest a României și se întinde din Munţii Apuseni (partea de est a judeţului) până în câmpia largă formată de râurile Mureş și Crişul Alb. Punctele extreme ale judeţului sunt cuprinse între coordonatele 20°45’ (Nădlac) şi 22°39’ (Târnăviţa) longitudine estică, respectiv 45°58’ (Labaşinţ) și 46°38’ (Berechiu) latitudine nordică.</w:t>
      </w:r>
    </w:p>
    <w:p w:rsidR="00290363" w:rsidRPr="0082481C" w:rsidRDefault="00290363" w:rsidP="000F7B81">
      <w:pPr>
        <w:spacing w:before="0" w:after="120"/>
        <w:rPr>
          <w:rFonts w:ascii="Times New Roman" w:hAnsi="Times New Roman"/>
          <w:szCs w:val="24"/>
        </w:rPr>
      </w:pPr>
      <w:r w:rsidRPr="0082481C">
        <w:rPr>
          <w:rFonts w:ascii="Times New Roman" w:hAnsi="Times New Roman"/>
          <w:szCs w:val="24"/>
        </w:rPr>
        <w:t xml:space="preserve">Figura urmatoare prezinta </w:t>
      </w:r>
      <w:r w:rsidR="000D43B1">
        <w:rPr>
          <w:rFonts w:ascii="Times New Roman" w:hAnsi="Times New Roman"/>
          <w:szCs w:val="24"/>
        </w:rPr>
        <w:t>harta judetului.</w:t>
      </w:r>
    </w:p>
    <w:p w:rsidR="00290363" w:rsidRPr="0082481C" w:rsidRDefault="000D43B1" w:rsidP="008418C4">
      <w:pPr>
        <w:autoSpaceDE w:val="0"/>
        <w:autoSpaceDN w:val="0"/>
        <w:adjustRightInd w:val="0"/>
        <w:spacing w:before="0"/>
        <w:rPr>
          <w:rFonts w:ascii="Times New Roman" w:eastAsiaTheme="minorHAnsi" w:hAnsi="Times New Roman"/>
          <w:szCs w:val="24"/>
        </w:rPr>
      </w:pPr>
      <w:r w:rsidRPr="000D43B1">
        <w:rPr>
          <w:rFonts w:ascii="Times New Roman" w:eastAsiaTheme="minorHAnsi" w:hAnsi="Times New Roman"/>
          <w:szCs w:val="24"/>
          <w:lang w:eastAsia="ro-RO"/>
        </w:rPr>
        <w:lastRenderedPageBreak/>
        <w:drawing>
          <wp:inline distT="0" distB="0" distL="0" distR="0">
            <wp:extent cx="5943600" cy="3854450"/>
            <wp:effectExtent l="1905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943600" cy="3854450"/>
                    </a:xfrm>
                    <a:prstGeom prst="rect">
                      <a:avLst/>
                    </a:prstGeom>
                    <a:noFill/>
                    <a:ln w="9525">
                      <a:noFill/>
                      <a:miter lim="800000"/>
                      <a:headEnd/>
                      <a:tailEnd/>
                    </a:ln>
                  </pic:spPr>
                </pic:pic>
              </a:graphicData>
            </a:graphic>
          </wp:inline>
        </w:drawing>
      </w:r>
    </w:p>
    <w:p w:rsidR="00290363" w:rsidRPr="0082481C" w:rsidRDefault="00290363" w:rsidP="008418C4">
      <w:pPr>
        <w:autoSpaceDE w:val="0"/>
        <w:autoSpaceDN w:val="0"/>
        <w:adjustRightInd w:val="0"/>
        <w:spacing w:before="0"/>
        <w:rPr>
          <w:rFonts w:ascii="Times New Roman" w:eastAsiaTheme="minorHAnsi" w:hAnsi="Times New Roman"/>
          <w:szCs w:val="24"/>
        </w:rPr>
      </w:pPr>
    </w:p>
    <w:p w:rsidR="00290363" w:rsidRPr="0082481C" w:rsidRDefault="00290363" w:rsidP="007C6AE8">
      <w:pPr>
        <w:keepNext/>
        <w:spacing w:before="0"/>
        <w:jc w:val="center"/>
        <w:rPr>
          <w:rFonts w:ascii="Times New Roman" w:hAnsi="Times New Roman"/>
          <w:b/>
          <w:sz w:val="22"/>
          <w:szCs w:val="22"/>
        </w:rPr>
      </w:pPr>
      <w:r w:rsidRPr="0082481C">
        <w:rPr>
          <w:rFonts w:ascii="Times New Roman" w:hAnsi="Times New Roman"/>
          <w:b/>
          <w:sz w:val="22"/>
          <w:szCs w:val="22"/>
        </w:rPr>
        <w:t xml:space="preserve">Figura </w:t>
      </w:r>
      <w:r w:rsidR="00B11797" w:rsidRPr="0082481C">
        <w:rPr>
          <w:rFonts w:ascii="Times New Roman" w:hAnsi="Times New Roman"/>
          <w:b/>
          <w:sz w:val="22"/>
          <w:szCs w:val="22"/>
        </w:rPr>
        <w:fldChar w:fldCharType="begin"/>
      </w:r>
      <w:r w:rsidRPr="0082481C">
        <w:rPr>
          <w:rFonts w:ascii="Times New Roman" w:hAnsi="Times New Roman"/>
          <w:b/>
          <w:sz w:val="22"/>
          <w:szCs w:val="22"/>
        </w:rPr>
        <w:instrText xml:space="preserve"> STYLEREF 1 \s </w:instrText>
      </w:r>
      <w:r w:rsidR="00B11797" w:rsidRPr="0082481C">
        <w:rPr>
          <w:rFonts w:ascii="Times New Roman" w:hAnsi="Times New Roman"/>
          <w:b/>
          <w:sz w:val="22"/>
          <w:szCs w:val="22"/>
        </w:rPr>
        <w:fldChar w:fldCharType="separate"/>
      </w:r>
      <w:r w:rsidRPr="0082481C">
        <w:rPr>
          <w:rFonts w:ascii="Times New Roman" w:hAnsi="Times New Roman"/>
          <w:b/>
          <w:sz w:val="22"/>
          <w:szCs w:val="22"/>
        </w:rPr>
        <w:t>2</w:t>
      </w:r>
      <w:r w:rsidR="00B11797" w:rsidRPr="0082481C">
        <w:rPr>
          <w:rFonts w:ascii="Times New Roman" w:hAnsi="Times New Roman"/>
          <w:b/>
          <w:sz w:val="22"/>
          <w:szCs w:val="22"/>
        </w:rPr>
        <w:fldChar w:fldCharType="end"/>
      </w:r>
      <w:r w:rsidRPr="0082481C">
        <w:rPr>
          <w:rFonts w:ascii="Times New Roman" w:hAnsi="Times New Roman"/>
          <w:b/>
          <w:sz w:val="22"/>
          <w:szCs w:val="22"/>
        </w:rPr>
        <w:t>.2-</w:t>
      </w:r>
      <w:r w:rsidR="00B11797" w:rsidRPr="0082481C">
        <w:rPr>
          <w:rFonts w:ascii="Times New Roman" w:hAnsi="Times New Roman"/>
          <w:b/>
          <w:sz w:val="22"/>
          <w:szCs w:val="22"/>
        </w:rPr>
        <w:fldChar w:fldCharType="begin"/>
      </w:r>
      <w:r w:rsidRPr="0082481C">
        <w:rPr>
          <w:rFonts w:ascii="Times New Roman" w:hAnsi="Times New Roman"/>
          <w:b/>
          <w:sz w:val="22"/>
          <w:szCs w:val="22"/>
        </w:rPr>
        <w:instrText xml:space="preserve"> SEQ Figure \* ARABIC \s 1 </w:instrText>
      </w:r>
      <w:r w:rsidR="00B11797" w:rsidRPr="0082481C">
        <w:rPr>
          <w:rFonts w:ascii="Times New Roman" w:hAnsi="Times New Roman"/>
          <w:b/>
          <w:sz w:val="22"/>
          <w:szCs w:val="22"/>
        </w:rPr>
        <w:fldChar w:fldCharType="separate"/>
      </w:r>
      <w:r w:rsidRPr="0082481C">
        <w:rPr>
          <w:rFonts w:ascii="Times New Roman" w:hAnsi="Times New Roman"/>
          <w:b/>
          <w:sz w:val="22"/>
          <w:szCs w:val="22"/>
        </w:rPr>
        <w:t>1</w:t>
      </w:r>
      <w:r w:rsidR="00B11797" w:rsidRPr="0082481C">
        <w:rPr>
          <w:rFonts w:ascii="Times New Roman" w:hAnsi="Times New Roman"/>
          <w:b/>
          <w:sz w:val="22"/>
          <w:szCs w:val="22"/>
        </w:rPr>
        <w:fldChar w:fldCharType="end"/>
      </w:r>
      <w:r w:rsidRPr="0082481C">
        <w:rPr>
          <w:rFonts w:ascii="Times New Roman" w:hAnsi="Times New Roman"/>
          <w:b/>
          <w:sz w:val="22"/>
          <w:szCs w:val="22"/>
        </w:rPr>
        <w:t xml:space="preserve">. </w:t>
      </w:r>
      <w:r w:rsidRPr="0082481C">
        <w:rPr>
          <w:rFonts w:ascii="Times New Roman" w:hAnsi="Times New Roman"/>
          <w:sz w:val="22"/>
          <w:szCs w:val="22"/>
        </w:rPr>
        <w:t xml:space="preserve">Judetul </w:t>
      </w:r>
      <w:r w:rsidR="000D43B1">
        <w:rPr>
          <w:rFonts w:ascii="Times New Roman" w:hAnsi="Times New Roman"/>
          <w:sz w:val="22"/>
          <w:szCs w:val="22"/>
        </w:rPr>
        <w:t>Arad</w:t>
      </w:r>
    </w:p>
    <w:p w:rsidR="000D43B1" w:rsidRDefault="000D43B1" w:rsidP="000D43B1">
      <w:pPr>
        <w:spacing w:before="0" w:after="120"/>
        <w:rPr>
          <w:rFonts w:ascii="Times New Roman" w:hAnsi="Times New Roman"/>
          <w:szCs w:val="24"/>
        </w:rPr>
      </w:pPr>
    </w:p>
    <w:p w:rsidR="000D43B1" w:rsidRPr="007832B2" w:rsidRDefault="000D43B1" w:rsidP="000D43B1">
      <w:pPr>
        <w:spacing w:before="0" w:after="120"/>
        <w:rPr>
          <w:rFonts w:ascii="Times New Roman" w:hAnsi="Times New Roman"/>
          <w:szCs w:val="24"/>
        </w:rPr>
      </w:pPr>
      <w:r w:rsidRPr="000D43B1">
        <w:rPr>
          <w:rFonts w:ascii="Times New Roman" w:hAnsi="Times New Roman"/>
          <w:szCs w:val="24"/>
        </w:rPr>
        <w:t>Judeţul Arad este aşezat în vestul ţării, în regiunea Vest, de o parte şi de alta a Mureşului şi Crişului Alb şi se învecinează cu: Bihor la nord și nord-est, Alba la est, Hunedoara la sud-est, Timiş la sud și cu Ungaria la vest.</w:t>
      </w:r>
      <w:r w:rsidR="005D05EC">
        <w:rPr>
          <w:rFonts w:ascii="Times New Roman" w:hAnsi="Times New Roman"/>
          <w:szCs w:val="24"/>
        </w:rPr>
        <w:t xml:space="preserve"> Se întinde pe o suprafaţă de 7.</w:t>
      </w:r>
      <w:r w:rsidRPr="000D43B1">
        <w:rPr>
          <w:rFonts w:ascii="Times New Roman" w:hAnsi="Times New Roman"/>
          <w:szCs w:val="24"/>
        </w:rPr>
        <w:t>754 km</w:t>
      </w:r>
      <w:r w:rsidR="005D05EC" w:rsidRPr="005D05EC">
        <w:rPr>
          <w:rFonts w:ascii="Times New Roman" w:hAnsi="Times New Roman"/>
          <w:szCs w:val="24"/>
          <w:vertAlign w:val="superscript"/>
        </w:rPr>
        <w:t>2</w:t>
      </w:r>
      <w:r w:rsidRPr="000D43B1">
        <w:rPr>
          <w:rFonts w:ascii="Times New Roman" w:hAnsi="Times New Roman"/>
          <w:szCs w:val="24"/>
        </w:rPr>
        <w:t xml:space="preserve"> şi cuprinde din punct de vedere administrativ 10 oraşe (din care 1 municipiu), 68 de comune și 273de sate. Populația sa stabilă, cf. datelor finale ale recensamantului din oct. 2011, era de aproximativ 430</w:t>
      </w:r>
      <w:r w:rsidR="005D05EC">
        <w:rPr>
          <w:rFonts w:ascii="Times New Roman" w:hAnsi="Times New Roman"/>
          <w:szCs w:val="24"/>
        </w:rPr>
        <w:t>.</w:t>
      </w:r>
      <w:r w:rsidRPr="007832B2">
        <w:rPr>
          <w:rFonts w:ascii="Times New Roman" w:hAnsi="Times New Roman"/>
          <w:szCs w:val="24"/>
        </w:rPr>
        <w:t>629 locuitori, iar densitatea de 55</w:t>
      </w:r>
      <w:r w:rsidR="005D05EC">
        <w:rPr>
          <w:rFonts w:ascii="Times New Roman" w:hAnsi="Times New Roman"/>
          <w:szCs w:val="24"/>
        </w:rPr>
        <w:t>,</w:t>
      </w:r>
      <w:r w:rsidRPr="007832B2">
        <w:rPr>
          <w:rFonts w:ascii="Times New Roman" w:hAnsi="Times New Roman"/>
          <w:szCs w:val="24"/>
        </w:rPr>
        <w:t>54 locuitori/km</w:t>
      </w:r>
      <w:r w:rsidRPr="007832B2">
        <w:rPr>
          <w:rFonts w:ascii="Times New Roman" w:hAnsi="Times New Roman"/>
          <w:szCs w:val="24"/>
          <w:vertAlign w:val="superscript"/>
        </w:rPr>
        <w:t>2</w:t>
      </w:r>
      <w:r w:rsidRPr="007832B2">
        <w:rPr>
          <w:rFonts w:ascii="Times New Roman" w:hAnsi="Times New Roman"/>
          <w:szCs w:val="24"/>
        </w:rPr>
        <w:t>, cu mult sub media pe țară de 89</w:t>
      </w:r>
      <w:r w:rsidR="005D05EC">
        <w:rPr>
          <w:rFonts w:ascii="Times New Roman" w:hAnsi="Times New Roman"/>
          <w:szCs w:val="24"/>
        </w:rPr>
        <w:t>,</w:t>
      </w:r>
      <w:r w:rsidRPr="007832B2">
        <w:rPr>
          <w:rFonts w:ascii="Times New Roman" w:hAnsi="Times New Roman"/>
          <w:szCs w:val="24"/>
        </w:rPr>
        <w:t>8 locuitori/km</w:t>
      </w:r>
      <w:r w:rsidRPr="007832B2">
        <w:rPr>
          <w:rFonts w:ascii="Times New Roman" w:hAnsi="Times New Roman"/>
          <w:szCs w:val="24"/>
          <w:vertAlign w:val="superscript"/>
        </w:rPr>
        <w:t>2</w:t>
      </w:r>
      <w:r w:rsidRPr="007832B2">
        <w:rPr>
          <w:rFonts w:ascii="Times New Roman" w:hAnsi="Times New Roman"/>
          <w:szCs w:val="24"/>
        </w:rPr>
        <w:t>.</w:t>
      </w:r>
    </w:p>
    <w:p w:rsidR="007832B2" w:rsidRDefault="007832B2" w:rsidP="008F4810">
      <w:pPr>
        <w:pStyle w:val="BodyText"/>
        <w:spacing w:before="0" w:after="0"/>
        <w:ind w:right="-284"/>
        <w:rPr>
          <w:rFonts w:ascii="Times New Roman" w:hAnsi="Times New Roman"/>
          <w:sz w:val="24"/>
          <w:szCs w:val="24"/>
          <w:lang w:val="ro-RO"/>
        </w:rPr>
      </w:pPr>
      <w:r w:rsidRPr="007832B2">
        <w:rPr>
          <w:rFonts w:ascii="Times New Roman" w:hAnsi="Times New Roman"/>
          <w:sz w:val="24"/>
          <w:szCs w:val="24"/>
          <w:lang w:val="ro-RO"/>
        </w:rPr>
        <w:t>Judetul Arad este compus din municipiul Arad, 9 orase si 68 de comune.</w:t>
      </w:r>
    </w:p>
    <w:p w:rsidR="007832B2" w:rsidRDefault="007832B2" w:rsidP="008F4810">
      <w:pPr>
        <w:pStyle w:val="BodyText"/>
        <w:spacing w:before="0" w:after="0"/>
        <w:ind w:right="-284"/>
        <w:rPr>
          <w:rFonts w:ascii="Times New Roman" w:hAnsi="Times New Roman"/>
          <w:sz w:val="24"/>
          <w:szCs w:val="24"/>
          <w:lang w:val="ro-RO"/>
        </w:rPr>
      </w:pPr>
    </w:p>
    <w:p w:rsidR="000D43B1" w:rsidRPr="007832B2" w:rsidRDefault="007832B2" w:rsidP="007832B2">
      <w:pPr>
        <w:pStyle w:val="BodyText"/>
        <w:spacing w:before="0" w:after="0"/>
        <w:ind w:right="-284"/>
        <w:rPr>
          <w:rFonts w:ascii="Times New Roman" w:hAnsi="Times New Roman"/>
          <w:sz w:val="24"/>
          <w:szCs w:val="24"/>
          <w:lang w:val="ro-RO"/>
        </w:rPr>
      </w:pPr>
      <w:r>
        <w:rPr>
          <w:rFonts w:ascii="Times New Roman" w:hAnsi="Times New Roman"/>
          <w:sz w:val="24"/>
          <w:szCs w:val="24"/>
          <w:lang w:val="ro-RO"/>
        </w:rPr>
        <w:t xml:space="preserve">Populatia localitatilor </w:t>
      </w:r>
      <w:r w:rsidRPr="007832B2">
        <w:rPr>
          <w:rFonts w:ascii="Times New Roman" w:hAnsi="Times New Roman"/>
          <w:sz w:val="24"/>
          <w:szCs w:val="24"/>
          <w:lang w:val="ro-RO"/>
        </w:rPr>
        <w:t xml:space="preserve">incluse in prezentul proiect </w:t>
      </w:r>
      <w:r>
        <w:rPr>
          <w:rFonts w:ascii="Times New Roman" w:hAnsi="Times New Roman"/>
          <w:sz w:val="24"/>
          <w:szCs w:val="24"/>
          <w:lang w:val="ro-RO"/>
        </w:rPr>
        <w:t xml:space="preserve">(din aria de operare) </w:t>
      </w:r>
      <w:r w:rsidRPr="007832B2">
        <w:rPr>
          <w:rFonts w:ascii="Times New Roman" w:hAnsi="Times New Roman"/>
          <w:sz w:val="24"/>
          <w:szCs w:val="24"/>
          <w:lang w:val="ro-RO"/>
        </w:rPr>
        <w:t>este prezentata in urmatorul tabel:</w:t>
      </w:r>
    </w:p>
    <w:p w:rsidR="007C6AE8" w:rsidRPr="007832B2" w:rsidRDefault="007C6AE8" w:rsidP="008F4810">
      <w:pPr>
        <w:spacing w:before="0" w:after="40"/>
        <w:rPr>
          <w:rFonts w:ascii="Times New Roman" w:hAnsi="Times New Roman"/>
          <w:szCs w:val="24"/>
        </w:rPr>
      </w:pPr>
    </w:p>
    <w:tbl>
      <w:tblPr>
        <w:tblpPr w:leftFromText="180" w:rightFromText="180" w:vertAnchor="text" w:tblpX="3126" w:tblpY="1"/>
        <w:tblOverlap w:val="never"/>
        <w:tblW w:w="3733" w:type="dxa"/>
        <w:tblLook w:val="04A0" w:firstRow="1" w:lastRow="0" w:firstColumn="1" w:lastColumn="0" w:noHBand="0" w:noVBand="1"/>
      </w:tblPr>
      <w:tblGrid>
        <w:gridCol w:w="1878"/>
        <w:gridCol w:w="1855"/>
      </w:tblGrid>
      <w:tr w:rsidR="007832B2" w:rsidRPr="007832B2" w:rsidTr="00E554E0">
        <w:trPr>
          <w:trHeight w:val="80"/>
          <w:tblHeader/>
        </w:trPr>
        <w:tc>
          <w:tcPr>
            <w:tcW w:w="1878" w:type="dxa"/>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bottom"/>
            <w:hideMark/>
          </w:tcPr>
          <w:p w:rsidR="007832B2" w:rsidRPr="007832B2" w:rsidRDefault="007832B2" w:rsidP="00E554E0">
            <w:pPr>
              <w:spacing w:before="0"/>
              <w:jc w:val="left"/>
              <w:rPr>
                <w:rFonts w:ascii="Times New Roman" w:hAnsi="Times New Roman"/>
                <w:b/>
                <w:color w:val="000000"/>
                <w:szCs w:val="24"/>
              </w:rPr>
            </w:pPr>
            <w:r w:rsidRPr="007832B2">
              <w:rPr>
                <w:rFonts w:ascii="Times New Roman" w:hAnsi="Times New Roman"/>
                <w:b/>
                <w:color w:val="000000"/>
                <w:szCs w:val="24"/>
              </w:rPr>
              <w:t>Localitate</w:t>
            </w:r>
          </w:p>
        </w:tc>
        <w:tc>
          <w:tcPr>
            <w:tcW w:w="1855" w:type="dxa"/>
            <w:tcBorders>
              <w:top w:val="single" w:sz="4" w:space="0" w:color="auto"/>
              <w:left w:val="nil"/>
              <w:bottom w:val="single" w:sz="4" w:space="0" w:color="auto"/>
              <w:right w:val="single" w:sz="4" w:space="0" w:color="auto"/>
            </w:tcBorders>
            <w:shd w:val="clear" w:color="auto" w:fill="548DD4" w:themeFill="text2" w:themeFillTint="99"/>
            <w:noWrap/>
            <w:vAlign w:val="bottom"/>
            <w:hideMark/>
          </w:tcPr>
          <w:p w:rsidR="007832B2" w:rsidRPr="007832B2" w:rsidRDefault="007832B2" w:rsidP="00E554E0">
            <w:pPr>
              <w:spacing w:before="0"/>
              <w:jc w:val="center"/>
              <w:rPr>
                <w:rFonts w:ascii="Times New Roman" w:hAnsi="Times New Roman"/>
                <w:b/>
                <w:color w:val="000000"/>
                <w:szCs w:val="24"/>
              </w:rPr>
            </w:pPr>
            <w:r w:rsidRPr="007832B2">
              <w:rPr>
                <w:rFonts w:ascii="Times New Roman" w:hAnsi="Times New Roman"/>
                <w:b/>
                <w:color w:val="000000"/>
                <w:szCs w:val="24"/>
              </w:rPr>
              <w:t>2013</w:t>
            </w:r>
          </w:p>
        </w:tc>
      </w:tr>
      <w:tr w:rsidR="007832B2" w:rsidRPr="007832B2" w:rsidTr="00E554E0">
        <w:trPr>
          <w:trHeight w:val="300"/>
        </w:trPr>
        <w:tc>
          <w:tcPr>
            <w:tcW w:w="1878" w:type="dxa"/>
            <w:tcBorders>
              <w:top w:val="nil"/>
              <w:left w:val="single" w:sz="4" w:space="0" w:color="auto"/>
              <w:bottom w:val="single" w:sz="4" w:space="0" w:color="auto"/>
              <w:right w:val="single" w:sz="4" w:space="0" w:color="auto"/>
            </w:tcBorders>
            <w:shd w:val="clear" w:color="000000" w:fill="FFFFFF"/>
            <w:noWrap/>
            <w:vAlign w:val="bottom"/>
            <w:hideMark/>
          </w:tcPr>
          <w:p w:rsidR="007832B2" w:rsidRPr="007832B2" w:rsidRDefault="007832B2" w:rsidP="00E554E0">
            <w:pPr>
              <w:spacing w:before="0"/>
              <w:jc w:val="left"/>
              <w:rPr>
                <w:rFonts w:ascii="Times New Roman" w:hAnsi="Times New Roman"/>
                <w:color w:val="000000"/>
                <w:szCs w:val="24"/>
              </w:rPr>
            </w:pPr>
            <w:r w:rsidRPr="007832B2">
              <w:rPr>
                <w:rFonts w:ascii="Times New Roman" w:hAnsi="Times New Roman"/>
                <w:color w:val="000000"/>
                <w:szCs w:val="24"/>
              </w:rPr>
              <w:t>Arad</w:t>
            </w:r>
          </w:p>
        </w:tc>
        <w:tc>
          <w:tcPr>
            <w:tcW w:w="1855" w:type="dxa"/>
            <w:tcBorders>
              <w:top w:val="nil"/>
              <w:left w:val="nil"/>
              <w:bottom w:val="single" w:sz="4" w:space="0" w:color="auto"/>
              <w:right w:val="single" w:sz="4" w:space="0" w:color="auto"/>
            </w:tcBorders>
            <w:shd w:val="clear" w:color="000000" w:fill="FFFFFF"/>
            <w:noWrap/>
            <w:vAlign w:val="bottom"/>
          </w:tcPr>
          <w:p w:rsidR="007832B2" w:rsidRPr="007832B2" w:rsidRDefault="00AA5D71" w:rsidP="00E554E0">
            <w:pPr>
              <w:spacing w:before="0"/>
              <w:jc w:val="center"/>
              <w:rPr>
                <w:rFonts w:ascii="Times New Roman" w:hAnsi="Times New Roman"/>
                <w:color w:val="000000"/>
                <w:szCs w:val="24"/>
              </w:rPr>
            </w:pPr>
            <w:r>
              <w:rPr>
                <w:rFonts w:ascii="Times New Roman" w:hAnsi="Times New Roman"/>
                <w:color w:val="000000"/>
                <w:szCs w:val="24"/>
              </w:rPr>
              <w:t>154.</w:t>
            </w:r>
            <w:r w:rsidR="007832B2" w:rsidRPr="007832B2">
              <w:rPr>
                <w:rFonts w:ascii="Times New Roman" w:hAnsi="Times New Roman"/>
                <w:color w:val="000000"/>
                <w:szCs w:val="24"/>
              </w:rPr>
              <w:t>896</w:t>
            </w:r>
          </w:p>
        </w:tc>
      </w:tr>
      <w:tr w:rsidR="007832B2" w:rsidRPr="007832B2" w:rsidTr="00E554E0">
        <w:trPr>
          <w:trHeight w:val="300"/>
        </w:trPr>
        <w:tc>
          <w:tcPr>
            <w:tcW w:w="1878" w:type="dxa"/>
            <w:tcBorders>
              <w:top w:val="nil"/>
              <w:left w:val="single" w:sz="4" w:space="0" w:color="auto"/>
              <w:bottom w:val="single" w:sz="4" w:space="0" w:color="auto"/>
              <w:right w:val="single" w:sz="4" w:space="0" w:color="auto"/>
            </w:tcBorders>
            <w:shd w:val="clear" w:color="000000" w:fill="FFFFFF"/>
            <w:noWrap/>
            <w:vAlign w:val="bottom"/>
            <w:hideMark/>
          </w:tcPr>
          <w:p w:rsidR="007832B2" w:rsidRPr="007832B2" w:rsidRDefault="007832B2" w:rsidP="00E554E0">
            <w:pPr>
              <w:spacing w:before="0"/>
              <w:jc w:val="left"/>
              <w:rPr>
                <w:rFonts w:ascii="Times New Roman" w:hAnsi="Times New Roman"/>
                <w:color w:val="000000"/>
                <w:szCs w:val="24"/>
              </w:rPr>
            </w:pPr>
            <w:r w:rsidRPr="007832B2">
              <w:rPr>
                <w:rFonts w:ascii="Times New Roman" w:hAnsi="Times New Roman"/>
                <w:color w:val="000000"/>
                <w:szCs w:val="24"/>
              </w:rPr>
              <w:t>Varsand</w:t>
            </w:r>
          </w:p>
        </w:tc>
        <w:tc>
          <w:tcPr>
            <w:tcW w:w="1855" w:type="dxa"/>
            <w:tcBorders>
              <w:top w:val="nil"/>
              <w:left w:val="nil"/>
              <w:bottom w:val="single" w:sz="4" w:space="0" w:color="auto"/>
              <w:right w:val="single" w:sz="4" w:space="0" w:color="auto"/>
            </w:tcBorders>
            <w:shd w:val="clear" w:color="000000" w:fill="FFFFFF"/>
            <w:noWrap/>
            <w:vAlign w:val="bottom"/>
          </w:tcPr>
          <w:p w:rsidR="007832B2" w:rsidRPr="007832B2" w:rsidRDefault="007832B2" w:rsidP="00E554E0">
            <w:pPr>
              <w:spacing w:before="0"/>
              <w:jc w:val="center"/>
              <w:rPr>
                <w:rFonts w:ascii="Times New Roman" w:hAnsi="Times New Roman"/>
                <w:color w:val="000000"/>
                <w:szCs w:val="24"/>
              </w:rPr>
            </w:pPr>
            <w:r w:rsidRPr="007832B2">
              <w:rPr>
                <w:rFonts w:ascii="Times New Roman" w:hAnsi="Times New Roman"/>
                <w:color w:val="000000"/>
                <w:szCs w:val="24"/>
              </w:rPr>
              <w:t>969</w:t>
            </w:r>
          </w:p>
        </w:tc>
      </w:tr>
      <w:tr w:rsidR="007832B2" w:rsidRPr="007832B2" w:rsidTr="00E554E0">
        <w:trPr>
          <w:trHeight w:val="300"/>
        </w:trPr>
        <w:tc>
          <w:tcPr>
            <w:tcW w:w="1878" w:type="dxa"/>
            <w:tcBorders>
              <w:top w:val="nil"/>
              <w:left w:val="single" w:sz="4" w:space="0" w:color="auto"/>
              <w:bottom w:val="single" w:sz="4" w:space="0" w:color="auto"/>
              <w:right w:val="single" w:sz="4" w:space="0" w:color="auto"/>
            </w:tcBorders>
            <w:shd w:val="clear" w:color="000000" w:fill="FFFFFF"/>
            <w:noWrap/>
            <w:vAlign w:val="bottom"/>
            <w:hideMark/>
          </w:tcPr>
          <w:p w:rsidR="007832B2" w:rsidRPr="007832B2" w:rsidRDefault="007832B2" w:rsidP="00E554E0">
            <w:pPr>
              <w:spacing w:before="0"/>
              <w:jc w:val="left"/>
              <w:rPr>
                <w:rFonts w:ascii="Times New Roman" w:hAnsi="Times New Roman"/>
                <w:color w:val="000000"/>
                <w:szCs w:val="24"/>
              </w:rPr>
            </w:pPr>
            <w:r w:rsidRPr="007832B2">
              <w:rPr>
                <w:rFonts w:ascii="Times New Roman" w:hAnsi="Times New Roman"/>
                <w:color w:val="000000"/>
                <w:szCs w:val="24"/>
              </w:rPr>
              <w:t>Cermei</w:t>
            </w:r>
          </w:p>
        </w:tc>
        <w:tc>
          <w:tcPr>
            <w:tcW w:w="1855" w:type="dxa"/>
            <w:tcBorders>
              <w:top w:val="nil"/>
              <w:left w:val="nil"/>
              <w:bottom w:val="single" w:sz="4" w:space="0" w:color="auto"/>
              <w:right w:val="single" w:sz="4" w:space="0" w:color="auto"/>
            </w:tcBorders>
            <w:shd w:val="clear" w:color="000000" w:fill="FFFFFF"/>
            <w:noWrap/>
            <w:vAlign w:val="bottom"/>
          </w:tcPr>
          <w:p w:rsidR="007832B2" w:rsidRPr="007832B2" w:rsidRDefault="00AA5D71" w:rsidP="00E554E0">
            <w:pPr>
              <w:spacing w:before="0"/>
              <w:jc w:val="center"/>
              <w:rPr>
                <w:rFonts w:ascii="Times New Roman" w:hAnsi="Times New Roman"/>
                <w:color w:val="000000"/>
                <w:szCs w:val="24"/>
              </w:rPr>
            </w:pPr>
            <w:r>
              <w:rPr>
                <w:rFonts w:ascii="Times New Roman" w:hAnsi="Times New Roman"/>
                <w:color w:val="000000"/>
                <w:szCs w:val="24"/>
              </w:rPr>
              <w:t>2.</w:t>
            </w:r>
            <w:r w:rsidR="007832B2" w:rsidRPr="007832B2">
              <w:rPr>
                <w:rFonts w:ascii="Times New Roman" w:hAnsi="Times New Roman"/>
                <w:color w:val="000000"/>
                <w:szCs w:val="24"/>
              </w:rPr>
              <w:t>572</w:t>
            </w:r>
          </w:p>
        </w:tc>
      </w:tr>
      <w:tr w:rsidR="007832B2" w:rsidRPr="007832B2" w:rsidTr="00E554E0">
        <w:trPr>
          <w:trHeight w:val="300"/>
        </w:trPr>
        <w:tc>
          <w:tcPr>
            <w:tcW w:w="1878" w:type="dxa"/>
            <w:tcBorders>
              <w:top w:val="nil"/>
              <w:left w:val="single" w:sz="4" w:space="0" w:color="auto"/>
              <w:bottom w:val="single" w:sz="4" w:space="0" w:color="auto"/>
              <w:right w:val="single" w:sz="4" w:space="0" w:color="auto"/>
            </w:tcBorders>
            <w:shd w:val="clear" w:color="000000" w:fill="FFFFFF"/>
            <w:noWrap/>
            <w:vAlign w:val="bottom"/>
          </w:tcPr>
          <w:p w:rsidR="007832B2" w:rsidRPr="007832B2" w:rsidRDefault="007832B2" w:rsidP="00E554E0">
            <w:pPr>
              <w:spacing w:before="0"/>
              <w:jc w:val="left"/>
              <w:rPr>
                <w:rFonts w:ascii="Times New Roman" w:hAnsi="Times New Roman"/>
                <w:color w:val="000000"/>
                <w:szCs w:val="24"/>
              </w:rPr>
            </w:pPr>
            <w:r w:rsidRPr="007832B2">
              <w:rPr>
                <w:rFonts w:ascii="Times New Roman" w:hAnsi="Times New Roman"/>
                <w:color w:val="000000"/>
                <w:szCs w:val="24"/>
              </w:rPr>
              <w:t>Sepreus</w:t>
            </w:r>
          </w:p>
        </w:tc>
        <w:tc>
          <w:tcPr>
            <w:tcW w:w="1855" w:type="dxa"/>
            <w:tcBorders>
              <w:top w:val="nil"/>
              <w:left w:val="nil"/>
              <w:bottom w:val="single" w:sz="4" w:space="0" w:color="auto"/>
              <w:right w:val="single" w:sz="4" w:space="0" w:color="auto"/>
            </w:tcBorders>
            <w:shd w:val="clear" w:color="000000" w:fill="FFFFFF"/>
            <w:noWrap/>
            <w:vAlign w:val="bottom"/>
          </w:tcPr>
          <w:p w:rsidR="007832B2" w:rsidRPr="007832B2" w:rsidRDefault="00AA5D71" w:rsidP="00E554E0">
            <w:pPr>
              <w:spacing w:before="0"/>
              <w:jc w:val="center"/>
              <w:rPr>
                <w:rFonts w:ascii="Times New Roman" w:hAnsi="Times New Roman"/>
                <w:color w:val="000000"/>
                <w:szCs w:val="24"/>
              </w:rPr>
            </w:pPr>
            <w:r>
              <w:rPr>
                <w:rFonts w:ascii="Times New Roman" w:hAnsi="Times New Roman"/>
                <w:color w:val="000000"/>
                <w:szCs w:val="24"/>
              </w:rPr>
              <w:t>2.</w:t>
            </w:r>
            <w:r w:rsidR="007832B2" w:rsidRPr="007832B2">
              <w:rPr>
                <w:rFonts w:ascii="Times New Roman" w:hAnsi="Times New Roman"/>
                <w:color w:val="000000"/>
                <w:szCs w:val="24"/>
              </w:rPr>
              <w:t>475</w:t>
            </w:r>
          </w:p>
        </w:tc>
      </w:tr>
      <w:tr w:rsidR="007832B2" w:rsidRPr="007832B2" w:rsidTr="00E554E0">
        <w:trPr>
          <w:trHeight w:val="300"/>
        </w:trPr>
        <w:tc>
          <w:tcPr>
            <w:tcW w:w="1878" w:type="dxa"/>
            <w:tcBorders>
              <w:top w:val="nil"/>
              <w:left w:val="single" w:sz="4" w:space="0" w:color="auto"/>
              <w:bottom w:val="single" w:sz="4" w:space="0" w:color="auto"/>
              <w:right w:val="single" w:sz="4" w:space="0" w:color="auto"/>
            </w:tcBorders>
            <w:shd w:val="clear" w:color="000000" w:fill="FFFFFF"/>
            <w:noWrap/>
            <w:vAlign w:val="bottom"/>
            <w:hideMark/>
          </w:tcPr>
          <w:p w:rsidR="007832B2" w:rsidRPr="007832B2" w:rsidRDefault="007832B2" w:rsidP="00E554E0">
            <w:pPr>
              <w:spacing w:before="0"/>
              <w:jc w:val="left"/>
              <w:rPr>
                <w:rFonts w:ascii="Times New Roman" w:hAnsi="Times New Roman"/>
                <w:b/>
                <w:color w:val="000000"/>
                <w:szCs w:val="24"/>
              </w:rPr>
            </w:pPr>
            <w:r>
              <w:rPr>
                <w:rFonts w:ascii="Times New Roman" w:hAnsi="Times New Roman"/>
                <w:b/>
                <w:color w:val="000000"/>
                <w:szCs w:val="24"/>
              </w:rPr>
              <w:t>Total</w:t>
            </w:r>
          </w:p>
        </w:tc>
        <w:tc>
          <w:tcPr>
            <w:tcW w:w="1855" w:type="dxa"/>
            <w:tcBorders>
              <w:top w:val="nil"/>
              <w:left w:val="nil"/>
              <w:bottom w:val="single" w:sz="4" w:space="0" w:color="auto"/>
              <w:right w:val="single" w:sz="4" w:space="0" w:color="auto"/>
            </w:tcBorders>
            <w:shd w:val="clear" w:color="000000" w:fill="FFFFFF"/>
            <w:noWrap/>
            <w:vAlign w:val="center"/>
          </w:tcPr>
          <w:p w:rsidR="007832B2" w:rsidRPr="007832B2" w:rsidRDefault="00BD4A24" w:rsidP="00B81551">
            <w:pPr>
              <w:spacing w:before="0"/>
              <w:jc w:val="center"/>
              <w:rPr>
                <w:rFonts w:ascii="Times New Roman" w:hAnsi="Times New Roman"/>
                <w:b/>
                <w:bCs/>
                <w:color w:val="000000"/>
                <w:szCs w:val="24"/>
              </w:rPr>
            </w:pPr>
            <w:r>
              <w:rPr>
                <w:rFonts w:ascii="Times New Roman" w:hAnsi="Times New Roman"/>
                <w:b/>
                <w:bCs/>
                <w:color w:val="000000"/>
                <w:szCs w:val="24"/>
              </w:rPr>
              <w:t>160.912</w:t>
            </w:r>
            <w:bookmarkStart w:id="3" w:name="_GoBack"/>
            <w:bookmarkEnd w:id="3"/>
          </w:p>
        </w:tc>
      </w:tr>
      <w:tr w:rsidR="00E554E0" w:rsidTr="00E554E0">
        <w:tblPrEx>
          <w:tblBorders>
            <w:top w:val="single" w:sz="4" w:space="0" w:color="auto"/>
          </w:tblBorders>
          <w:tblLook w:val="0000" w:firstRow="0" w:lastRow="0" w:firstColumn="0" w:lastColumn="0" w:noHBand="0" w:noVBand="0"/>
        </w:tblPrEx>
        <w:trPr>
          <w:trHeight w:val="100"/>
        </w:trPr>
        <w:tc>
          <w:tcPr>
            <w:tcW w:w="3733" w:type="dxa"/>
            <w:gridSpan w:val="2"/>
          </w:tcPr>
          <w:p w:rsidR="00E554E0" w:rsidRDefault="00E554E0" w:rsidP="00E554E0">
            <w:pPr>
              <w:autoSpaceDE w:val="0"/>
              <w:autoSpaceDN w:val="0"/>
              <w:adjustRightInd w:val="0"/>
              <w:spacing w:before="0"/>
              <w:rPr>
                <w:rFonts w:ascii="Times New Roman" w:eastAsiaTheme="minorHAnsi" w:hAnsi="Times New Roman"/>
                <w:szCs w:val="24"/>
              </w:rPr>
            </w:pPr>
          </w:p>
        </w:tc>
      </w:tr>
    </w:tbl>
    <w:p w:rsidR="007C6AE8" w:rsidRPr="007832B2" w:rsidRDefault="007832B2" w:rsidP="008F4810">
      <w:pPr>
        <w:autoSpaceDE w:val="0"/>
        <w:autoSpaceDN w:val="0"/>
        <w:adjustRightInd w:val="0"/>
        <w:spacing w:before="0"/>
        <w:rPr>
          <w:rFonts w:ascii="Times New Roman" w:eastAsiaTheme="minorHAnsi" w:hAnsi="Times New Roman"/>
          <w:szCs w:val="24"/>
        </w:rPr>
      </w:pPr>
      <w:r>
        <w:rPr>
          <w:rFonts w:ascii="Times New Roman" w:eastAsiaTheme="minorHAnsi" w:hAnsi="Times New Roman"/>
          <w:szCs w:val="24"/>
        </w:rPr>
        <w:br w:type="textWrapping" w:clear="all"/>
      </w:r>
    </w:p>
    <w:p w:rsidR="007832B2" w:rsidRPr="007832B2" w:rsidRDefault="007832B2">
      <w:pPr>
        <w:autoSpaceDE w:val="0"/>
        <w:autoSpaceDN w:val="0"/>
        <w:adjustRightInd w:val="0"/>
        <w:spacing w:before="0"/>
        <w:rPr>
          <w:rFonts w:ascii="Times New Roman" w:eastAsiaTheme="minorHAnsi" w:hAnsi="Times New Roman"/>
          <w:szCs w:val="24"/>
        </w:rPr>
      </w:pPr>
    </w:p>
    <w:sectPr w:rsidR="007832B2" w:rsidRPr="007832B2" w:rsidSect="00571937">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07F" w:rsidRDefault="00FF007F" w:rsidP="00594740">
      <w:pPr>
        <w:spacing w:before="0"/>
      </w:pPr>
      <w:r>
        <w:separator/>
      </w:r>
    </w:p>
  </w:endnote>
  <w:endnote w:type="continuationSeparator" w:id="0">
    <w:p w:rsidR="00FF007F" w:rsidRDefault="00FF007F" w:rsidP="005947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913"/>
      <w:docPartObj>
        <w:docPartGallery w:val="Page Numbers (Bottom of Page)"/>
        <w:docPartUnique/>
      </w:docPartObj>
    </w:sdtPr>
    <w:sdtEndPr/>
    <w:sdtContent>
      <w:p w:rsidR="000629D0" w:rsidRDefault="00B11797" w:rsidP="000629D0">
        <w:pPr>
          <w:pStyle w:val="Footer"/>
          <w:pBdr>
            <w:top w:val="single" w:sz="4" w:space="1" w:color="auto"/>
          </w:pBdr>
          <w:jc w:val="right"/>
        </w:pPr>
        <w:r w:rsidRPr="000629D0">
          <w:rPr>
            <w:rFonts w:ascii="Times New Roman" w:hAnsi="Times New Roman"/>
            <w:sz w:val="20"/>
          </w:rPr>
          <w:fldChar w:fldCharType="begin"/>
        </w:r>
        <w:r w:rsidR="000629D0" w:rsidRPr="000629D0">
          <w:rPr>
            <w:rFonts w:ascii="Times New Roman" w:hAnsi="Times New Roman"/>
            <w:sz w:val="20"/>
          </w:rPr>
          <w:instrText xml:space="preserve"> PAGE   \* MERGEFORMAT </w:instrText>
        </w:r>
        <w:r w:rsidRPr="000629D0">
          <w:rPr>
            <w:rFonts w:ascii="Times New Roman" w:hAnsi="Times New Roman"/>
            <w:sz w:val="20"/>
          </w:rPr>
          <w:fldChar w:fldCharType="separate"/>
        </w:r>
        <w:r w:rsidR="00BD4A24">
          <w:rPr>
            <w:rFonts w:ascii="Times New Roman" w:hAnsi="Times New Roman"/>
            <w:sz w:val="20"/>
          </w:rPr>
          <w:t>1</w:t>
        </w:r>
        <w:r w:rsidRPr="000629D0">
          <w:rPr>
            <w:rFonts w:ascii="Times New Roman" w:hAnsi="Times New Roman"/>
            <w:sz w:val="20"/>
          </w:rPr>
          <w:fldChar w:fldCharType="end"/>
        </w:r>
      </w:p>
    </w:sdtContent>
  </w:sdt>
  <w:p w:rsidR="000629D0" w:rsidRDefault="000629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07F" w:rsidRDefault="00FF007F" w:rsidP="00594740">
      <w:pPr>
        <w:spacing w:before="0"/>
      </w:pPr>
      <w:r>
        <w:separator/>
      </w:r>
    </w:p>
  </w:footnote>
  <w:footnote w:type="continuationSeparator" w:id="0">
    <w:p w:rsidR="00FF007F" w:rsidRDefault="00FF007F" w:rsidP="0059474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B5A" w:rsidRPr="0082481C" w:rsidRDefault="00762946" w:rsidP="007832B2">
    <w:pPr>
      <w:pStyle w:val="Header"/>
      <w:spacing w:before="0"/>
      <w:jc w:val="left"/>
      <w:rPr>
        <w:rFonts w:ascii="Times New Roman" w:hAnsi="Times New Roman"/>
        <w:sz w:val="18"/>
        <w:szCs w:val="18"/>
      </w:rPr>
    </w:pPr>
    <w:r>
      <w:rPr>
        <w:rFonts w:ascii="Times New Roman" w:hAnsi="Times New Roman"/>
        <w:kern w:val="28"/>
        <w:sz w:val="18"/>
        <w:szCs w:val="18"/>
        <w:lang w:val="pt-PT"/>
      </w:rPr>
      <w:t>Modernizarea sistemelor de alimentare cu</w:t>
    </w:r>
    <w:r w:rsidR="0082481C" w:rsidRPr="0082481C">
      <w:rPr>
        <w:rFonts w:ascii="Times New Roman" w:hAnsi="Times New Roman"/>
        <w:kern w:val="28"/>
        <w:sz w:val="18"/>
        <w:szCs w:val="18"/>
        <w:lang w:val="pt-PT"/>
      </w:rPr>
      <w:t xml:space="preserve"> apa</w:t>
    </w:r>
    <w:r w:rsidR="00FE3B5A" w:rsidRPr="0082481C">
      <w:rPr>
        <w:rFonts w:ascii="Times New Roman" w:hAnsi="Times New Roman"/>
        <w:kern w:val="28"/>
        <w:sz w:val="18"/>
        <w:szCs w:val="18"/>
        <w:lang w:val="pt-PT"/>
      </w:rPr>
      <w:t xml:space="preserve"> </w:t>
    </w:r>
    <w:r w:rsidR="00FE3B5A" w:rsidRPr="0082481C">
      <w:rPr>
        <w:rFonts w:ascii="Times New Roman" w:hAnsi="Times New Roman"/>
        <w:kern w:val="28"/>
        <w:sz w:val="18"/>
        <w:szCs w:val="18"/>
        <w:lang w:val="pt-PT"/>
      </w:rPr>
      <w:tab/>
    </w:r>
    <w:r w:rsidR="00FE3B5A" w:rsidRPr="0082481C">
      <w:rPr>
        <w:rFonts w:ascii="Times New Roman" w:hAnsi="Times New Roman"/>
        <w:kern w:val="28"/>
        <w:sz w:val="18"/>
        <w:szCs w:val="18"/>
        <w:lang w:val="pt-PT"/>
      </w:rPr>
      <w:tab/>
      <w:t>Studiu de Fezabilitate</w:t>
    </w:r>
  </w:p>
  <w:p w:rsidR="00FE3B5A" w:rsidRDefault="00394559" w:rsidP="007832B2">
    <w:pPr>
      <w:pStyle w:val="Header"/>
      <w:spacing w:before="0"/>
      <w:rPr>
        <w:rFonts w:ascii="Times New Roman" w:hAnsi="Times New Roman"/>
        <w:kern w:val="28"/>
        <w:sz w:val="18"/>
        <w:szCs w:val="18"/>
        <w:lang w:val="pt-PT"/>
      </w:rPr>
    </w:pPr>
    <w:r>
      <w:rPr>
        <w:rFonts w:ascii="Times New Roman" w:hAnsi="Times New Roman"/>
        <w:kern w:val="28"/>
        <w:sz w:val="18"/>
        <w:szCs w:val="18"/>
        <w:lang w:val="pt-PT"/>
      </w:rPr>
      <w:t xml:space="preserve">si </w:t>
    </w:r>
    <w:r w:rsidR="00762946">
      <w:rPr>
        <w:rFonts w:ascii="Times New Roman" w:hAnsi="Times New Roman"/>
        <w:kern w:val="28"/>
        <w:sz w:val="18"/>
        <w:szCs w:val="18"/>
        <w:lang w:val="pt-PT"/>
      </w:rPr>
      <w:t>canalizare</w:t>
    </w:r>
    <w:r>
      <w:rPr>
        <w:rFonts w:ascii="Times New Roman" w:hAnsi="Times New Roman"/>
        <w:kern w:val="28"/>
        <w:sz w:val="18"/>
        <w:szCs w:val="18"/>
        <w:lang w:val="pt-PT"/>
      </w:rPr>
      <w:t xml:space="preserve"> in judetul Arad</w:t>
    </w:r>
    <w:r w:rsidR="0082481C" w:rsidRPr="0082481C">
      <w:rPr>
        <w:rFonts w:ascii="Times New Roman" w:hAnsi="Times New Roman"/>
        <w:kern w:val="28"/>
        <w:sz w:val="18"/>
        <w:szCs w:val="18"/>
        <w:lang w:val="pt-PT"/>
      </w:rPr>
      <w:tab/>
    </w:r>
    <w:r w:rsidR="00FE3B5A" w:rsidRPr="0082481C">
      <w:rPr>
        <w:rFonts w:ascii="Times New Roman" w:hAnsi="Times New Roman"/>
        <w:kern w:val="28"/>
        <w:sz w:val="18"/>
        <w:szCs w:val="18"/>
        <w:lang w:val="pt-PT"/>
      </w:rPr>
      <w:tab/>
      <w:t>Capitolul 2</w:t>
    </w:r>
    <w:r w:rsidR="00AA5D71">
      <w:rPr>
        <w:rFonts w:ascii="Times New Roman" w:hAnsi="Times New Roman"/>
        <w:kern w:val="28"/>
        <w:sz w:val="18"/>
        <w:szCs w:val="18"/>
        <w:lang w:val="pt-PT"/>
      </w:rPr>
      <w:t xml:space="preserve"> </w:t>
    </w:r>
    <w:r w:rsidR="00FE3B5A" w:rsidRPr="0082481C">
      <w:rPr>
        <w:rFonts w:ascii="Times New Roman" w:hAnsi="Times New Roman"/>
        <w:kern w:val="28"/>
        <w:sz w:val="18"/>
        <w:szCs w:val="18"/>
        <w:lang w:val="pt-PT"/>
      </w:rPr>
      <w:t>–</w:t>
    </w:r>
    <w:r w:rsidR="00AA5D71">
      <w:rPr>
        <w:rFonts w:ascii="Times New Roman" w:hAnsi="Times New Roman"/>
        <w:kern w:val="28"/>
        <w:sz w:val="18"/>
        <w:szCs w:val="18"/>
        <w:lang w:val="pt-PT"/>
      </w:rPr>
      <w:t xml:space="preserve"> </w:t>
    </w:r>
    <w:r w:rsidR="00FE3B5A" w:rsidRPr="0082481C">
      <w:rPr>
        <w:rFonts w:ascii="Times New Roman" w:hAnsi="Times New Roman"/>
        <w:kern w:val="28"/>
        <w:sz w:val="18"/>
        <w:szCs w:val="18"/>
        <w:lang w:val="pt-PT"/>
      </w:rPr>
      <w:t>Informatii generale</w:t>
    </w:r>
  </w:p>
  <w:p w:rsidR="007832B2" w:rsidRDefault="007832B2" w:rsidP="007832B2">
    <w:pPr>
      <w:pStyle w:val="Header"/>
      <w:pBdr>
        <w:top w:val="single" w:sz="4" w:space="1" w:color="auto"/>
      </w:pBdr>
      <w:spacing w:before="0"/>
      <w:rPr>
        <w:rFonts w:ascii="Times New Roman" w:hAnsi="Times New Roman"/>
        <w:kern w:val="28"/>
        <w:sz w:val="18"/>
        <w:szCs w:val="18"/>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48209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056396"/>
    <w:multiLevelType w:val="hybridMultilevel"/>
    <w:tmpl w:val="97FE6A8C"/>
    <w:lvl w:ilvl="0" w:tplc="38964022">
      <w:numFmt w:val="bullet"/>
      <w:lvlText w:val="-"/>
      <w:lvlJc w:val="left"/>
      <w:pPr>
        <w:ind w:left="2160" w:hanging="360"/>
      </w:pPr>
      <w:rPr>
        <w:rFonts w:ascii="Garamond" w:eastAsia="Calibri" w:hAnsi="Garamond" w:cs="Times New Roman"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6A5127E"/>
    <w:multiLevelType w:val="hybridMultilevel"/>
    <w:tmpl w:val="ACC0DEC0"/>
    <w:lvl w:ilvl="0" w:tplc="D45C509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350A3"/>
    <w:multiLevelType w:val="hybridMultilevel"/>
    <w:tmpl w:val="A392CBDC"/>
    <w:lvl w:ilvl="0" w:tplc="38964022">
      <w:numFmt w:val="bullet"/>
      <w:lvlText w:val="-"/>
      <w:lvlJc w:val="left"/>
      <w:pPr>
        <w:ind w:left="926" w:hanging="360"/>
      </w:pPr>
      <w:rPr>
        <w:rFonts w:ascii="Garamond" w:eastAsia="Calibri" w:hAnsi="Garamond" w:cs="Times New Roman" w:hint="default"/>
        <w:color w:val="auto"/>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4">
    <w:nsid w:val="091A5AAB"/>
    <w:multiLevelType w:val="multilevel"/>
    <w:tmpl w:val="1696DD9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A854696"/>
    <w:multiLevelType w:val="hybridMultilevel"/>
    <w:tmpl w:val="4CC6BC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C84A71"/>
    <w:multiLevelType w:val="hybridMultilevel"/>
    <w:tmpl w:val="4A088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4A4C6E"/>
    <w:multiLevelType w:val="hybridMultilevel"/>
    <w:tmpl w:val="79089220"/>
    <w:lvl w:ilvl="0" w:tplc="F882544C">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55659E"/>
    <w:multiLevelType w:val="hybridMultilevel"/>
    <w:tmpl w:val="485E9F9A"/>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0B524A7"/>
    <w:multiLevelType w:val="hybridMultilevel"/>
    <w:tmpl w:val="C10A2174"/>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8C61FA7"/>
    <w:multiLevelType w:val="hybridMultilevel"/>
    <w:tmpl w:val="003C6FC2"/>
    <w:lvl w:ilvl="0" w:tplc="04090001">
      <w:start w:val="1"/>
      <w:numFmt w:val="bullet"/>
      <w:lvlText w:val=""/>
      <w:lvlJc w:val="left"/>
      <w:pPr>
        <w:ind w:left="926" w:hanging="360"/>
      </w:pPr>
      <w:rPr>
        <w:rFonts w:ascii="Wingdings" w:hAnsi="Wingdings"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1">
    <w:nsid w:val="1F361A4E"/>
    <w:multiLevelType w:val="multilevel"/>
    <w:tmpl w:val="C74C47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1F7E5761"/>
    <w:multiLevelType w:val="hybridMultilevel"/>
    <w:tmpl w:val="DEDAFFC2"/>
    <w:lvl w:ilvl="0" w:tplc="FFFFFFFF">
      <w:numFmt w:val="bullet"/>
      <w:lvlText w:val="-"/>
      <w:lvlJc w:val="left"/>
      <w:pPr>
        <w:ind w:left="720" w:hanging="360"/>
      </w:pPr>
      <w:rPr>
        <w:rFonts w:ascii="Garamond" w:eastAsia="Calibri" w:hAnsi="Garamond" w:cs="Times New Roman" w:hint="default"/>
        <w:color w:val="auto"/>
      </w:rPr>
    </w:lvl>
    <w:lvl w:ilvl="1" w:tplc="FFFFFFFF">
      <w:numFmt w:val="bullet"/>
      <w:lvlText w:val="-"/>
      <w:lvlJc w:val="left"/>
      <w:pPr>
        <w:ind w:left="1440" w:hanging="360"/>
      </w:pPr>
      <w:rPr>
        <w:rFonts w:ascii="Garamond" w:eastAsia="Calibri" w:hAnsi="Garamond" w:cs="Times New Roman"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2B12143"/>
    <w:multiLevelType w:val="hybridMultilevel"/>
    <w:tmpl w:val="80C443A2"/>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077382"/>
    <w:multiLevelType w:val="hybridMultilevel"/>
    <w:tmpl w:val="05EEF180"/>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ECB4F55"/>
    <w:multiLevelType w:val="hybridMultilevel"/>
    <w:tmpl w:val="74F08154"/>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3C2630C"/>
    <w:multiLevelType w:val="hybridMultilevel"/>
    <w:tmpl w:val="032E3D76"/>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365A5069"/>
    <w:multiLevelType w:val="multilevel"/>
    <w:tmpl w:val="C74C470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nsid w:val="3C850ADA"/>
    <w:multiLevelType w:val="multilevel"/>
    <w:tmpl w:val="8AC05B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E191884"/>
    <w:multiLevelType w:val="singleLevel"/>
    <w:tmpl w:val="3020C764"/>
    <w:name w:val="List Bullet 3"/>
    <w:lvl w:ilvl="0">
      <w:start w:val="1"/>
      <w:numFmt w:val="bullet"/>
      <w:lvlRestart w:val="0"/>
      <w:pStyle w:val="ListBullet3"/>
      <w:lvlText w:val=""/>
      <w:lvlJc w:val="left"/>
      <w:pPr>
        <w:tabs>
          <w:tab w:val="num" w:pos="1134"/>
        </w:tabs>
        <w:ind w:left="1134" w:hanging="283"/>
      </w:pPr>
      <w:rPr>
        <w:rFonts w:ascii="Symbol" w:hAnsi="Symbol" w:hint="default"/>
      </w:rPr>
    </w:lvl>
  </w:abstractNum>
  <w:abstractNum w:abstractNumId="20">
    <w:nsid w:val="412D0A6E"/>
    <w:multiLevelType w:val="hybridMultilevel"/>
    <w:tmpl w:val="A9047582"/>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E14C6E"/>
    <w:multiLevelType w:val="hybridMultilevel"/>
    <w:tmpl w:val="D48A2ACC"/>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22635B0"/>
    <w:multiLevelType w:val="hybridMultilevel"/>
    <w:tmpl w:val="BDDC1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87538D"/>
    <w:multiLevelType w:val="hybridMultilevel"/>
    <w:tmpl w:val="C8CCB21E"/>
    <w:lvl w:ilvl="0" w:tplc="BE22AE6C">
      <w:numFmt w:val="bullet"/>
      <w:lvlText w:val="-"/>
      <w:lvlJc w:val="left"/>
      <w:pPr>
        <w:ind w:left="720" w:hanging="360"/>
      </w:pPr>
      <w:rPr>
        <w:rFonts w:ascii="Calibri" w:eastAsia="Times New Roman" w:hAnsi="Calibri" w:cs="Times New Roman" w:hint="default"/>
      </w:rPr>
    </w:lvl>
    <w:lvl w:ilvl="1" w:tplc="0418000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BD9543E"/>
    <w:multiLevelType w:val="hybridMultilevel"/>
    <w:tmpl w:val="D1AA15D6"/>
    <w:lvl w:ilvl="0" w:tplc="0409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5F837021"/>
    <w:multiLevelType w:val="hybridMultilevel"/>
    <w:tmpl w:val="EC3A20FE"/>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47A5F14"/>
    <w:multiLevelType w:val="hybridMultilevel"/>
    <w:tmpl w:val="8416B6C4"/>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3E40BD"/>
    <w:multiLevelType w:val="hybridMultilevel"/>
    <w:tmpl w:val="B786010C"/>
    <w:lvl w:ilvl="0" w:tplc="04090003">
      <w:start w:val="1"/>
      <w:numFmt w:val="bullet"/>
      <w:lvlText w:val="o"/>
      <w:lvlJc w:val="left"/>
      <w:pPr>
        <w:ind w:left="720" w:hanging="360"/>
      </w:pPr>
      <w:rPr>
        <w:rFonts w:ascii="Courier New" w:hAnsi="Courier New" w:cs="Courier New"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7DD5758"/>
    <w:multiLevelType w:val="hybridMultilevel"/>
    <w:tmpl w:val="2326F3C8"/>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921563E"/>
    <w:multiLevelType w:val="hybridMultilevel"/>
    <w:tmpl w:val="D446F7DE"/>
    <w:lvl w:ilvl="0" w:tplc="43D24084">
      <w:start w:val="1"/>
      <w:numFmt w:val="bullet"/>
      <w:lvlText w:val=""/>
      <w:lvlJc w:val="left"/>
      <w:pPr>
        <w:tabs>
          <w:tab w:val="num" w:pos="720"/>
        </w:tabs>
        <w:ind w:left="720" w:hanging="360"/>
      </w:pPr>
      <w:rPr>
        <w:rFonts w:ascii="Symbol" w:hAnsi="Symbol" w:hint="default"/>
      </w:rPr>
    </w:lvl>
    <w:lvl w:ilvl="1" w:tplc="04090003">
      <w:start w:val="8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97E4A20"/>
    <w:multiLevelType w:val="hybridMultilevel"/>
    <w:tmpl w:val="E93C459E"/>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B295C50"/>
    <w:multiLevelType w:val="hybridMultilevel"/>
    <w:tmpl w:val="803CF9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F9304F"/>
    <w:multiLevelType w:val="hybridMultilevel"/>
    <w:tmpl w:val="9968DAA8"/>
    <w:lvl w:ilvl="0" w:tplc="FFFFFFFF">
      <w:numFmt w:val="bullet"/>
      <w:lvlText w:val="-"/>
      <w:lvlJc w:val="left"/>
      <w:pPr>
        <w:ind w:left="720" w:hanging="360"/>
      </w:pPr>
      <w:rPr>
        <w:rFonts w:ascii="Garamond" w:eastAsia="Calibri" w:hAnsi="Garamond" w:cs="Times New Roman"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F1B3195"/>
    <w:multiLevelType w:val="hybridMultilevel"/>
    <w:tmpl w:val="ACB66A4A"/>
    <w:lvl w:ilvl="0" w:tplc="38964022">
      <w:numFmt w:val="bullet"/>
      <w:lvlText w:val="-"/>
      <w:lvlJc w:val="left"/>
      <w:pPr>
        <w:ind w:left="720" w:hanging="360"/>
      </w:pPr>
      <w:rPr>
        <w:rFonts w:ascii="Garamond" w:eastAsia="Calibri" w:hAnsi="Garamond"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AC6E4E"/>
    <w:multiLevelType w:val="hybridMultilevel"/>
    <w:tmpl w:val="C5E22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735EB0"/>
    <w:multiLevelType w:val="hybridMultilevel"/>
    <w:tmpl w:val="AD587E96"/>
    <w:lvl w:ilvl="0" w:tplc="04090001">
      <w:start w:val="1"/>
      <w:numFmt w:val="bullet"/>
      <w:pStyle w:val="P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78E3622F"/>
    <w:multiLevelType w:val="hybridMultilevel"/>
    <w:tmpl w:val="AC3E382C"/>
    <w:lvl w:ilvl="0" w:tplc="4504281C">
      <w:start w:val="1"/>
      <w:numFmt w:val="bullet"/>
      <w:lvlText w:val=""/>
      <w:lvlJc w:val="left"/>
      <w:pPr>
        <w:ind w:left="1440" w:hanging="360"/>
      </w:pPr>
      <w:rPr>
        <w:rFonts w:ascii="Symbol" w:hAnsi="Symbol" w:hint="default"/>
      </w:rPr>
    </w:lvl>
    <w:lvl w:ilvl="1" w:tplc="428E9420" w:tentative="1">
      <w:start w:val="1"/>
      <w:numFmt w:val="bullet"/>
      <w:lvlText w:val="o"/>
      <w:lvlJc w:val="left"/>
      <w:pPr>
        <w:ind w:left="2160" w:hanging="360"/>
      </w:pPr>
      <w:rPr>
        <w:rFonts w:ascii="Courier New" w:hAnsi="Courier New" w:cs="Courier New" w:hint="default"/>
      </w:rPr>
    </w:lvl>
    <w:lvl w:ilvl="2" w:tplc="325073F6" w:tentative="1">
      <w:start w:val="1"/>
      <w:numFmt w:val="bullet"/>
      <w:lvlText w:val=""/>
      <w:lvlJc w:val="left"/>
      <w:pPr>
        <w:ind w:left="2880" w:hanging="360"/>
      </w:pPr>
      <w:rPr>
        <w:rFonts w:ascii="Wingdings" w:hAnsi="Wingdings" w:hint="default"/>
      </w:rPr>
    </w:lvl>
    <w:lvl w:ilvl="3" w:tplc="1CEA7FAC" w:tentative="1">
      <w:start w:val="1"/>
      <w:numFmt w:val="bullet"/>
      <w:lvlText w:val=""/>
      <w:lvlJc w:val="left"/>
      <w:pPr>
        <w:ind w:left="3600" w:hanging="360"/>
      </w:pPr>
      <w:rPr>
        <w:rFonts w:ascii="Symbol" w:hAnsi="Symbol" w:hint="default"/>
      </w:rPr>
    </w:lvl>
    <w:lvl w:ilvl="4" w:tplc="61F20166" w:tentative="1">
      <w:start w:val="1"/>
      <w:numFmt w:val="bullet"/>
      <w:lvlText w:val="o"/>
      <w:lvlJc w:val="left"/>
      <w:pPr>
        <w:ind w:left="4320" w:hanging="360"/>
      </w:pPr>
      <w:rPr>
        <w:rFonts w:ascii="Courier New" w:hAnsi="Courier New" w:cs="Courier New" w:hint="default"/>
      </w:rPr>
    </w:lvl>
    <w:lvl w:ilvl="5" w:tplc="EC4A596A" w:tentative="1">
      <w:start w:val="1"/>
      <w:numFmt w:val="bullet"/>
      <w:lvlText w:val=""/>
      <w:lvlJc w:val="left"/>
      <w:pPr>
        <w:ind w:left="5040" w:hanging="360"/>
      </w:pPr>
      <w:rPr>
        <w:rFonts w:ascii="Wingdings" w:hAnsi="Wingdings" w:hint="default"/>
      </w:rPr>
    </w:lvl>
    <w:lvl w:ilvl="6" w:tplc="CD5CCF66" w:tentative="1">
      <w:start w:val="1"/>
      <w:numFmt w:val="bullet"/>
      <w:lvlText w:val=""/>
      <w:lvlJc w:val="left"/>
      <w:pPr>
        <w:ind w:left="5760" w:hanging="360"/>
      </w:pPr>
      <w:rPr>
        <w:rFonts w:ascii="Symbol" w:hAnsi="Symbol" w:hint="default"/>
      </w:rPr>
    </w:lvl>
    <w:lvl w:ilvl="7" w:tplc="F41EDA58" w:tentative="1">
      <w:start w:val="1"/>
      <w:numFmt w:val="bullet"/>
      <w:lvlText w:val="o"/>
      <w:lvlJc w:val="left"/>
      <w:pPr>
        <w:ind w:left="6480" w:hanging="360"/>
      </w:pPr>
      <w:rPr>
        <w:rFonts w:ascii="Courier New" w:hAnsi="Courier New" w:cs="Courier New" w:hint="default"/>
      </w:rPr>
    </w:lvl>
    <w:lvl w:ilvl="8" w:tplc="DB2CA21E" w:tentative="1">
      <w:start w:val="1"/>
      <w:numFmt w:val="bullet"/>
      <w:lvlText w:val=""/>
      <w:lvlJc w:val="left"/>
      <w:pPr>
        <w:ind w:left="7200" w:hanging="360"/>
      </w:pPr>
      <w:rPr>
        <w:rFonts w:ascii="Wingdings" w:hAnsi="Wingdings" w:hint="default"/>
      </w:rPr>
    </w:lvl>
  </w:abstractNum>
  <w:num w:numId="1">
    <w:abstractNumId w:val="18"/>
  </w:num>
  <w:num w:numId="2">
    <w:abstractNumId w:val="20"/>
  </w:num>
  <w:num w:numId="3">
    <w:abstractNumId w:val="1"/>
  </w:num>
  <w:num w:numId="4">
    <w:abstractNumId w:val="22"/>
  </w:num>
  <w:num w:numId="5">
    <w:abstractNumId w:val="13"/>
  </w:num>
  <w:num w:numId="6">
    <w:abstractNumId w:val="26"/>
  </w:num>
  <w:num w:numId="7">
    <w:abstractNumId w:val="33"/>
  </w:num>
  <w:num w:numId="8">
    <w:abstractNumId w:val="34"/>
  </w:num>
  <w:num w:numId="9">
    <w:abstractNumId w:val="10"/>
  </w:num>
  <w:num w:numId="10">
    <w:abstractNumId w:val="3"/>
  </w:num>
  <w:num w:numId="11">
    <w:abstractNumId w:val="36"/>
  </w:num>
  <w:num w:numId="12">
    <w:abstractNumId w:val="8"/>
  </w:num>
  <w:num w:numId="13">
    <w:abstractNumId w:val="19"/>
  </w:num>
  <w:num w:numId="14">
    <w:abstractNumId w:val="24"/>
  </w:num>
  <w:num w:numId="15">
    <w:abstractNumId w:val="23"/>
  </w:num>
  <w:num w:numId="16">
    <w:abstractNumId w:val="15"/>
  </w:num>
  <w:num w:numId="17">
    <w:abstractNumId w:val="21"/>
  </w:num>
  <w:num w:numId="18">
    <w:abstractNumId w:val="27"/>
  </w:num>
  <w:num w:numId="19">
    <w:abstractNumId w:val="16"/>
  </w:num>
  <w:num w:numId="20">
    <w:abstractNumId w:val="30"/>
  </w:num>
  <w:num w:numId="21">
    <w:abstractNumId w:val="14"/>
  </w:num>
  <w:num w:numId="22">
    <w:abstractNumId w:val="9"/>
  </w:num>
  <w:num w:numId="23">
    <w:abstractNumId w:val="35"/>
  </w:num>
  <w:num w:numId="24">
    <w:abstractNumId w:val="25"/>
  </w:num>
  <w:num w:numId="25">
    <w:abstractNumId w:val="32"/>
  </w:num>
  <w:num w:numId="26">
    <w:abstractNumId w:val="12"/>
  </w:num>
  <w:num w:numId="27">
    <w:abstractNumId w:val="28"/>
  </w:num>
  <w:num w:numId="28">
    <w:abstractNumId w:val="31"/>
  </w:num>
  <w:num w:numId="29">
    <w:abstractNumId w:val="5"/>
  </w:num>
  <w:num w:numId="30">
    <w:abstractNumId w:val="2"/>
  </w:num>
  <w:num w:numId="31">
    <w:abstractNumId w:val="4"/>
  </w:num>
  <w:num w:numId="32">
    <w:abstractNumId w:val="0"/>
  </w:num>
  <w:num w:numId="33">
    <w:abstractNumId w:val="29"/>
  </w:num>
  <w:num w:numId="34">
    <w:abstractNumId w:val="7"/>
  </w:num>
  <w:num w:numId="35">
    <w:abstractNumId w:val="11"/>
  </w:num>
  <w:num w:numId="36">
    <w:abstractNumId w:val="17"/>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94740"/>
    <w:rsid w:val="00000F84"/>
    <w:rsid w:val="00001D08"/>
    <w:rsid w:val="000162BC"/>
    <w:rsid w:val="0002314D"/>
    <w:rsid w:val="000232C9"/>
    <w:rsid w:val="00031D0A"/>
    <w:rsid w:val="00033AD9"/>
    <w:rsid w:val="000544AF"/>
    <w:rsid w:val="000629D0"/>
    <w:rsid w:val="00063E0D"/>
    <w:rsid w:val="00097867"/>
    <w:rsid w:val="000A30A0"/>
    <w:rsid w:val="000C43B2"/>
    <w:rsid w:val="000D1F2C"/>
    <w:rsid w:val="000D43B1"/>
    <w:rsid w:val="000E1C44"/>
    <w:rsid w:val="000F7112"/>
    <w:rsid w:val="000F7B81"/>
    <w:rsid w:val="001267C2"/>
    <w:rsid w:val="001437A9"/>
    <w:rsid w:val="00150059"/>
    <w:rsid w:val="00153810"/>
    <w:rsid w:val="001666FB"/>
    <w:rsid w:val="00180A4A"/>
    <w:rsid w:val="001851EA"/>
    <w:rsid w:val="00186F0D"/>
    <w:rsid w:val="00187446"/>
    <w:rsid w:val="001C4E6C"/>
    <w:rsid w:val="001D05E3"/>
    <w:rsid w:val="002001E7"/>
    <w:rsid w:val="0020176D"/>
    <w:rsid w:val="00212BE4"/>
    <w:rsid w:val="00214B6C"/>
    <w:rsid w:val="00215E13"/>
    <w:rsid w:val="00225009"/>
    <w:rsid w:val="00252424"/>
    <w:rsid w:val="0026047F"/>
    <w:rsid w:val="00270638"/>
    <w:rsid w:val="0028021A"/>
    <w:rsid w:val="00290363"/>
    <w:rsid w:val="00291095"/>
    <w:rsid w:val="002A56A0"/>
    <w:rsid w:val="002C4397"/>
    <w:rsid w:val="002C7D97"/>
    <w:rsid w:val="002D3A3E"/>
    <w:rsid w:val="002D4730"/>
    <w:rsid w:val="002E0740"/>
    <w:rsid w:val="002E628D"/>
    <w:rsid w:val="002F2B9B"/>
    <w:rsid w:val="00300747"/>
    <w:rsid w:val="00302B65"/>
    <w:rsid w:val="00317CF8"/>
    <w:rsid w:val="003218D9"/>
    <w:rsid w:val="003221E8"/>
    <w:rsid w:val="0032504D"/>
    <w:rsid w:val="00333230"/>
    <w:rsid w:val="00346826"/>
    <w:rsid w:val="00375174"/>
    <w:rsid w:val="00385155"/>
    <w:rsid w:val="00394559"/>
    <w:rsid w:val="003A0606"/>
    <w:rsid w:val="003B3C71"/>
    <w:rsid w:val="003C2FB9"/>
    <w:rsid w:val="003C32AC"/>
    <w:rsid w:val="003C5778"/>
    <w:rsid w:val="004251F2"/>
    <w:rsid w:val="00430569"/>
    <w:rsid w:val="00434D94"/>
    <w:rsid w:val="004432A5"/>
    <w:rsid w:val="00455472"/>
    <w:rsid w:val="00462182"/>
    <w:rsid w:val="00462472"/>
    <w:rsid w:val="0047216A"/>
    <w:rsid w:val="0048537E"/>
    <w:rsid w:val="00492E8F"/>
    <w:rsid w:val="00496035"/>
    <w:rsid w:val="004C3DDD"/>
    <w:rsid w:val="004D13F7"/>
    <w:rsid w:val="004F00CC"/>
    <w:rsid w:val="00502FAA"/>
    <w:rsid w:val="00511D65"/>
    <w:rsid w:val="005169DD"/>
    <w:rsid w:val="00554A47"/>
    <w:rsid w:val="00571937"/>
    <w:rsid w:val="0057541A"/>
    <w:rsid w:val="0058094F"/>
    <w:rsid w:val="00584C88"/>
    <w:rsid w:val="00594740"/>
    <w:rsid w:val="005B0D36"/>
    <w:rsid w:val="005C262A"/>
    <w:rsid w:val="005D05EC"/>
    <w:rsid w:val="005E7F52"/>
    <w:rsid w:val="00610E6E"/>
    <w:rsid w:val="00616958"/>
    <w:rsid w:val="006210FC"/>
    <w:rsid w:val="00641E4C"/>
    <w:rsid w:val="006529EC"/>
    <w:rsid w:val="00666138"/>
    <w:rsid w:val="006669FD"/>
    <w:rsid w:val="00671584"/>
    <w:rsid w:val="006A0119"/>
    <w:rsid w:val="006B38A2"/>
    <w:rsid w:val="006B7E02"/>
    <w:rsid w:val="006C03BA"/>
    <w:rsid w:val="006D224D"/>
    <w:rsid w:val="006E0034"/>
    <w:rsid w:val="006F5AA5"/>
    <w:rsid w:val="0071254F"/>
    <w:rsid w:val="00725AE2"/>
    <w:rsid w:val="00732653"/>
    <w:rsid w:val="007446E8"/>
    <w:rsid w:val="007510B9"/>
    <w:rsid w:val="00753D27"/>
    <w:rsid w:val="007550B9"/>
    <w:rsid w:val="00762946"/>
    <w:rsid w:val="00763D23"/>
    <w:rsid w:val="00764F68"/>
    <w:rsid w:val="007832B2"/>
    <w:rsid w:val="0078346D"/>
    <w:rsid w:val="007A0F2F"/>
    <w:rsid w:val="007A75B3"/>
    <w:rsid w:val="007C6AE8"/>
    <w:rsid w:val="007D24F8"/>
    <w:rsid w:val="007E2B70"/>
    <w:rsid w:val="007F1CF7"/>
    <w:rsid w:val="0080047F"/>
    <w:rsid w:val="0080417D"/>
    <w:rsid w:val="0082114C"/>
    <w:rsid w:val="0082159B"/>
    <w:rsid w:val="0082481C"/>
    <w:rsid w:val="008418C4"/>
    <w:rsid w:val="00873541"/>
    <w:rsid w:val="008E2F1A"/>
    <w:rsid w:val="008E4F0A"/>
    <w:rsid w:val="008F4810"/>
    <w:rsid w:val="008F75C8"/>
    <w:rsid w:val="00905370"/>
    <w:rsid w:val="0091338B"/>
    <w:rsid w:val="0095160D"/>
    <w:rsid w:val="00961751"/>
    <w:rsid w:val="0096574E"/>
    <w:rsid w:val="009818F0"/>
    <w:rsid w:val="009946AF"/>
    <w:rsid w:val="009A21F9"/>
    <w:rsid w:val="009A6910"/>
    <w:rsid w:val="009D6E67"/>
    <w:rsid w:val="009F1AFC"/>
    <w:rsid w:val="00A11B7E"/>
    <w:rsid w:val="00A14612"/>
    <w:rsid w:val="00A2250D"/>
    <w:rsid w:val="00A34CC2"/>
    <w:rsid w:val="00A40FDC"/>
    <w:rsid w:val="00A63734"/>
    <w:rsid w:val="00A81191"/>
    <w:rsid w:val="00A8582F"/>
    <w:rsid w:val="00AA5D71"/>
    <w:rsid w:val="00AC2093"/>
    <w:rsid w:val="00AC7B5C"/>
    <w:rsid w:val="00AD788B"/>
    <w:rsid w:val="00B07BA4"/>
    <w:rsid w:val="00B11797"/>
    <w:rsid w:val="00B24971"/>
    <w:rsid w:val="00B43101"/>
    <w:rsid w:val="00B5432D"/>
    <w:rsid w:val="00B57604"/>
    <w:rsid w:val="00B66FA1"/>
    <w:rsid w:val="00B775CB"/>
    <w:rsid w:val="00B81551"/>
    <w:rsid w:val="00B86687"/>
    <w:rsid w:val="00B94DCC"/>
    <w:rsid w:val="00BD4A24"/>
    <w:rsid w:val="00BE4B44"/>
    <w:rsid w:val="00BF2DAD"/>
    <w:rsid w:val="00BF4E55"/>
    <w:rsid w:val="00BF5DC3"/>
    <w:rsid w:val="00BF65DD"/>
    <w:rsid w:val="00C0242E"/>
    <w:rsid w:val="00C1659B"/>
    <w:rsid w:val="00C23C8A"/>
    <w:rsid w:val="00C26EB3"/>
    <w:rsid w:val="00C31B3A"/>
    <w:rsid w:val="00C33F5A"/>
    <w:rsid w:val="00C82124"/>
    <w:rsid w:val="00C97043"/>
    <w:rsid w:val="00CA037F"/>
    <w:rsid w:val="00CA3A63"/>
    <w:rsid w:val="00CA631D"/>
    <w:rsid w:val="00CF7735"/>
    <w:rsid w:val="00D103BE"/>
    <w:rsid w:val="00D330C8"/>
    <w:rsid w:val="00D3658F"/>
    <w:rsid w:val="00D36DFE"/>
    <w:rsid w:val="00D50932"/>
    <w:rsid w:val="00D5290D"/>
    <w:rsid w:val="00D659A0"/>
    <w:rsid w:val="00D730C9"/>
    <w:rsid w:val="00D8249D"/>
    <w:rsid w:val="00D90C13"/>
    <w:rsid w:val="00DC4360"/>
    <w:rsid w:val="00DD40B0"/>
    <w:rsid w:val="00DD6538"/>
    <w:rsid w:val="00DF0F07"/>
    <w:rsid w:val="00DF5548"/>
    <w:rsid w:val="00E26BDD"/>
    <w:rsid w:val="00E271CA"/>
    <w:rsid w:val="00E41BC1"/>
    <w:rsid w:val="00E422B0"/>
    <w:rsid w:val="00E52062"/>
    <w:rsid w:val="00E554E0"/>
    <w:rsid w:val="00E80068"/>
    <w:rsid w:val="00EB0949"/>
    <w:rsid w:val="00ED055D"/>
    <w:rsid w:val="00ED7172"/>
    <w:rsid w:val="00EE16ED"/>
    <w:rsid w:val="00EE3F9B"/>
    <w:rsid w:val="00EE66BC"/>
    <w:rsid w:val="00F30AE6"/>
    <w:rsid w:val="00F402BA"/>
    <w:rsid w:val="00F420FD"/>
    <w:rsid w:val="00F4734F"/>
    <w:rsid w:val="00F47B27"/>
    <w:rsid w:val="00F9073B"/>
    <w:rsid w:val="00FD72AC"/>
    <w:rsid w:val="00FE38A8"/>
    <w:rsid w:val="00FE3A8A"/>
    <w:rsid w:val="00FE3B5A"/>
    <w:rsid w:val="00FF00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paragraph" w:styleId="Heading6">
    <w:name w:val="heading 6"/>
    <w:basedOn w:val="Normal"/>
    <w:next w:val="Normal"/>
    <w:link w:val="Heading6Char"/>
    <w:qFormat/>
    <w:rsid w:val="00666138"/>
    <w:pPr>
      <w:spacing w:before="240" w:after="60"/>
      <w:outlineLvl w:val="5"/>
    </w:pPr>
    <w:rPr>
      <w:rFonts w:ascii="Times New Roman" w:hAnsi="Times New Roman"/>
      <w:b/>
      <w:bCs/>
      <w:noProof w:val="0"/>
      <w:sz w:val="22"/>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aliases w:val="body 2,List Paragraph1,List Paragraph11"/>
    <w:basedOn w:val="Normal"/>
    <w:link w:val="ListParagraphChar"/>
    <w:uiPriority w:val="99"/>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 w:type="paragraph" w:customStyle="1" w:styleId="Text3">
    <w:name w:val="Text 3"/>
    <w:basedOn w:val="Normal"/>
    <w:rsid w:val="002E628D"/>
    <w:pPr>
      <w:spacing w:after="120"/>
      <w:ind w:left="850"/>
    </w:pPr>
    <w:rPr>
      <w:rFonts w:ascii="Times New Roman" w:hAnsi="Times New Roman"/>
      <w:noProof w:val="0"/>
      <w:szCs w:val="24"/>
      <w:lang w:eastAsia="de-DE"/>
    </w:rPr>
  </w:style>
  <w:style w:type="character" w:customStyle="1" w:styleId="ListParagraphChar">
    <w:name w:val="List Paragraph Char"/>
    <w:aliases w:val="body 2 Char,List Paragraph1 Char,List Paragraph11 Char"/>
    <w:link w:val="ListParagraph"/>
    <w:uiPriority w:val="99"/>
    <w:locked/>
    <w:rsid w:val="00B775CB"/>
    <w:rPr>
      <w:rFonts w:ascii="Calibri" w:eastAsia="Times New Roman" w:hAnsi="Calibri" w:cs="Times New Roman"/>
      <w:noProof/>
      <w:sz w:val="24"/>
      <w:szCs w:val="20"/>
      <w:lang w:val="ro-RO"/>
    </w:rPr>
  </w:style>
  <w:style w:type="paragraph" w:styleId="ListBullet3">
    <w:name w:val="List Bullet 3"/>
    <w:basedOn w:val="Normal"/>
    <w:rsid w:val="00B775CB"/>
    <w:pPr>
      <w:numPr>
        <w:numId w:val="13"/>
      </w:numPr>
      <w:spacing w:after="120"/>
    </w:pPr>
    <w:rPr>
      <w:rFonts w:ascii="Times New Roman" w:hAnsi="Times New Roman"/>
      <w:noProof w:val="0"/>
      <w:szCs w:val="24"/>
      <w:lang w:eastAsia="de-DE"/>
    </w:rPr>
  </w:style>
  <w:style w:type="character" w:customStyle="1" w:styleId="Heading6Char">
    <w:name w:val="Heading 6 Char"/>
    <w:basedOn w:val="DefaultParagraphFont"/>
    <w:link w:val="Heading6"/>
    <w:rsid w:val="00666138"/>
    <w:rPr>
      <w:rFonts w:ascii="Times New Roman" w:eastAsia="Times New Roman" w:hAnsi="Times New Roman" w:cs="Times New Roman"/>
      <w:b/>
      <w:bCs/>
      <w:lang w:val="ro-RO" w:eastAsia="de-DE"/>
    </w:rPr>
  </w:style>
  <w:style w:type="paragraph" w:customStyle="1" w:styleId="P1">
    <w:name w:val="P1"/>
    <w:basedOn w:val="Normal"/>
    <w:rsid w:val="00F402BA"/>
    <w:pPr>
      <w:numPr>
        <w:numId w:val="23"/>
      </w:numPr>
      <w:overflowPunct w:val="0"/>
      <w:autoSpaceDE w:val="0"/>
      <w:autoSpaceDN w:val="0"/>
      <w:adjustRightInd w:val="0"/>
      <w:spacing w:before="0" w:line="320" w:lineRule="atLeast"/>
      <w:textAlignment w:val="baseline"/>
    </w:pPr>
    <w:rPr>
      <w:rFonts w:ascii="Arial" w:hAnsi="Arial" w:cs="Arial"/>
      <w:noProof w:val="0"/>
      <w:sz w:val="22"/>
      <w:szCs w:val="22"/>
      <w:lang w:val="de-DE" w:eastAsia="de-DE"/>
    </w:rPr>
  </w:style>
  <w:style w:type="paragraph" w:customStyle="1" w:styleId="E1">
    <w:name w:val="E1"/>
    <w:basedOn w:val="Normal"/>
    <w:rsid w:val="00F402BA"/>
    <w:pPr>
      <w:overflowPunct w:val="0"/>
      <w:autoSpaceDE w:val="0"/>
      <w:autoSpaceDN w:val="0"/>
      <w:adjustRightInd w:val="0"/>
      <w:spacing w:before="0" w:after="160" w:line="320" w:lineRule="atLeast"/>
      <w:ind w:left="851"/>
      <w:textAlignment w:val="baseline"/>
    </w:pPr>
    <w:rPr>
      <w:rFonts w:ascii="Arial" w:hAnsi="Arial" w:cs="Arial"/>
      <w:noProof w:val="0"/>
      <w:sz w:val="22"/>
      <w:szCs w:val="22"/>
      <w:lang w:val="de-DE" w:eastAsia="de-DE"/>
    </w:rPr>
  </w:style>
  <w:style w:type="paragraph" w:styleId="Caption">
    <w:name w:val="caption"/>
    <w:basedOn w:val="Normal"/>
    <w:next w:val="Normal"/>
    <w:qFormat/>
    <w:rsid w:val="00187446"/>
    <w:pPr>
      <w:tabs>
        <w:tab w:val="left" w:pos="992"/>
      </w:tabs>
      <w:spacing w:after="120" w:line="260" w:lineRule="exact"/>
    </w:pPr>
    <w:rPr>
      <w:rFonts w:ascii="Arial Bold" w:hAnsi="Arial Bold"/>
      <w:b/>
      <w:bCs/>
      <w:i/>
      <w:noProof w:val="0"/>
      <w:sz w:val="16"/>
      <w:szCs w:val="16"/>
      <w:lang w:val="de-DE" w:eastAsia="de-DE"/>
    </w:rPr>
  </w:style>
  <w:style w:type="paragraph" w:customStyle="1" w:styleId="source">
    <w:name w:val="source"/>
    <w:basedOn w:val="Normal"/>
    <w:link w:val="sourceChar"/>
    <w:autoRedefine/>
    <w:rsid w:val="00187446"/>
    <w:pPr>
      <w:spacing w:before="0"/>
      <w:jc w:val="left"/>
    </w:pPr>
    <w:rPr>
      <w:rFonts w:ascii="Arial" w:hAnsi="Arial"/>
      <w:noProof w:val="0"/>
      <w:sz w:val="18"/>
      <w:lang w:val="en-GB"/>
    </w:rPr>
  </w:style>
  <w:style w:type="character" w:customStyle="1" w:styleId="sourceChar">
    <w:name w:val="source Char"/>
    <w:basedOn w:val="DefaultParagraphFont"/>
    <w:link w:val="source"/>
    <w:rsid w:val="00187446"/>
    <w:rPr>
      <w:rFonts w:ascii="Arial" w:eastAsia="Times New Roman" w:hAnsi="Arial" w:cs="Times New Roman"/>
      <w:sz w:val="18"/>
      <w:szCs w:val="20"/>
      <w:lang w:val="en-GB"/>
    </w:rPr>
  </w:style>
  <w:style w:type="paragraph" w:styleId="ListBullet">
    <w:name w:val="List Bullet"/>
    <w:basedOn w:val="Normal"/>
    <w:uiPriority w:val="99"/>
    <w:semiHidden/>
    <w:unhideWhenUsed/>
    <w:rsid w:val="008418C4"/>
    <w:pPr>
      <w:numPr>
        <w:numId w:val="32"/>
      </w:numPr>
      <w:contextualSpacing/>
    </w:pPr>
  </w:style>
  <w:style w:type="character" w:customStyle="1" w:styleId="ax1">
    <w:name w:val="ax1"/>
    <w:rsid w:val="008418C4"/>
    <w:rPr>
      <w:b/>
      <w:bCs/>
      <w:sz w:val="26"/>
      <w:szCs w:val="26"/>
    </w:rPr>
  </w:style>
  <w:style w:type="character" w:styleId="Strong">
    <w:name w:val="Strong"/>
    <w:uiPriority w:val="22"/>
    <w:qFormat/>
    <w:rsid w:val="007C6A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0A"/>
    <w:pPr>
      <w:spacing w:before="120" w:after="0" w:line="240" w:lineRule="auto"/>
      <w:jc w:val="both"/>
    </w:pPr>
    <w:rPr>
      <w:rFonts w:ascii="Calibri" w:eastAsia="Times New Roman" w:hAnsi="Calibri" w:cs="Times New Roman"/>
      <w:noProof/>
      <w:sz w:val="24"/>
      <w:szCs w:val="20"/>
      <w:lang w:val="ro-RO"/>
    </w:rPr>
  </w:style>
  <w:style w:type="paragraph" w:styleId="Heading1">
    <w:name w:val="heading 1"/>
    <w:aliases w:val="Chapitre,h1,H1,H11,H12,H111,H13,H112,H14,H113,H15,H114,H16,H115,H17,H116,H18,H117,H19,H118,H110,H119,H120,H1110"/>
    <w:basedOn w:val="Normal"/>
    <w:next w:val="Normal"/>
    <w:link w:val="Heading1Char"/>
    <w:qFormat/>
    <w:rsid w:val="00031D0A"/>
    <w:pPr>
      <w:keepNext/>
      <w:keepLines/>
      <w:spacing w:before="480" w:line="120" w:lineRule="auto"/>
      <w:jc w:val="left"/>
      <w:outlineLvl w:val="0"/>
    </w:pPr>
    <w:rPr>
      <w:rFonts w:asciiTheme="majorHAnsi" w:eastAsiaTheme="majorEastAsia" w:hAnsiTheme="majorHAnsi" w:cstheme="majorBidi"/>
      <w:b/>
      <w:bCs/>
      <w:color w:val="365F91" w:themeColor="accent1" w:themeShade="BF"/>
      <w:sz w:val="28"/>
      <w:szCs w:val="28"/>
      <w:lang w:val="en-GB"/>
    </w:rPr>
  </w:style>
  <w:style w:type="paragraph" w:styleId="Heading2">
    <w:name w:val="heading 2"/>
    <w:basedOn w:val="Normal"/>
    <w:next w:val="Normal"/>
    <w:link w:val="Heading2Char"/>
    <w:uiPriority w:val="9"/>
    <w:unhideWhenUsed/>
    <w:qFormat/>
    <w:rsid w:val="00031D0A"/>
    <w:pPr>
      <w:keepNext/>
      <w:keepLines/>
      <w:spacing w:before="200" w:line="120" w:lineRule="auto"/>
      <w:jc w:val="left"/>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next w:val="Normal"/>
    <w:link w:val="Heading3Char"/>
    <w:uiPriority w:val="9"/>
    <w:unhideWhenUsed/>
    <w:qFormat/>
    <w:rsid w:val="00C26EB3"/>
    <w:pPr>
      <w:keepNext/>
      <w:keepLines/>
      <w:spacing w:before="200" w:line="120" w:lineRule="auto"/>
      <w:jc w:val="left"/>
      <w:outlineLvl w:val="2"/>
    </w:pPr>
    <w:rPr>
      <w:rFonts w:asciiTheme="majorHAnsi" w:eastAsiaTheme="majorEastAsia" w:hAnsiTheme="majorHAnsi" w:cstheme="majorBidi"/>
      <w:b/>
      <w:bCs/>
      <w:noProof w:val="0"/>
      <w:color w:val="4F81BD" w:themeColor="accent1"/>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4740"/>
    <w:pPr>
      <w:tabs>
        <w:tab w:val="center" w:pos="4680"/>
        <w:tab w:val="right" w:pos="9360"/>
      </w:tabs>
    </w:pPr>
  </w:style>
  <w:style w:type="character" w:customStyle="1" w:styleId="HeaderChar">
    <w:name w:val="Header Char"/>
    <w:basedOn w:val="DefaultParagraphFont"/>
    <w:link w:val="Header"/>
    <w:uiPriority w:val="99"/>
    <w:rsid w:val="00594740"/>
  </w:style>
  <w:style w:type="paragraph" w:styleId="Footer">
    <w:name w:val="footer"/>
    <w:basedOn w:val="Normal"/>
    <w:link w:val="FooterChar"/>
    <w:uiPriority w:val="99"/>
    <w:unhideWhenUsed/>
    <w:rsid w:val="00594740"/>
    <w:pPr>
      <w:tabs>
        <w:tab w:val="center" w:pos="4680"/>
        <w:tab w:val="right" w:pos="9360"/>
      </w:tabs>
    </w:pPr>
  </w:style>
  <w:style w:type="character" w:customStyle="1" w:styleId="FooterChar">
    <w:name w:val="Footer Char"/>
    <w:basedOn w:val="DefaultParagraphFont"/>
    <w:link w:val="Footer"/>
    <w:uiPriority w:val="99"/>
    <w:rsid w:val="00594740"/>
  </w:style>
  <w:style w:type="character" w:styleId="Hyperlink">
    <w:name w:val="Hyperlink"/>
    <w:uiPriority w:val="99"/>
    <w:rsid w:val="00031D0A"/>
    <w:rPr>
      <w:color w:val="0000FF"/>
      <w:u w:val="single"/>
    </w:rPr>
  </w:style>
  <w:style w:type="paragraph" w:styleId="TOC1">
    <w:name w:val="toc 1"/>
    <w:basedOn w:val="Normal"/>
    <w:next w:val="Normal"/>
    <w:link w:val="TOC1Char"/>
    <w:autoRedefine/>
    <w:uiPriority w:val="39"/>
    <w:rsid w:val="00031D0A"/>
    <w:rPr>
      <w:lang w:eastAsia="x-none"/>
    </w:rPr>
  </w:style>
  <w:style w:type="paragraph" w:styleId="TOC2">
    <w:name w:val="toc 2"/>
    <w:basedOn w:val="Normal"/>
    <w:next w:val="Normal"/>
    <w:autoRedefine/>
    <w:uiPriority w:val="39"/>
    <w:rsid w:val="00D730C9"/>
    <w:pPr>
      <w:tabs>
        <w:tab w:val="left" w:pos="880"/>
        <w:tab w:val="right" w:leader="dot" w:pos="9350"/>
      </w:tabs>
      <w:ind w:left="240"/>
    </w:pPr>
  </w:style>
  <w:style w:type="paragraph" w:styleId="TOC3">
    <w:name w:val="toc 3"/>
    <w:basedOn w:val="Normal"/>
    <w:next w:val="Normal"/>
    <w:autoRedefine/>
    <w:uiPriority w:val="39"/>
    <w:rsid w:val="00031D0A"/>
    <w:pPr>
      <w:ind w:left="480"/>
    </w:pPr>
  </w:style>
  <w:style w:type="character" w:customStyle="1" w:styleId="TOC1Char">
    <w:name w:val="TOC 1 Char"/>
    <w:link w:val="TOC1"/>
    <w:uiPriority w:val="39"/>
    <w:rsid w:val="00031D0A"/>
    <w:rPr>
      <w:rFonts w:ascii="Calibri" w:eastAsia="Times New Roman" w:hAnsi="Calibri" w:cs="Times New Roman"/>
      <w:sz w:val="24"/>
      <w:szCs w:val="20"/>
      <w:lang w:val="ro-RO" w:eastAsia="x-none"/>
    </w:rPr>
  </w:style>
  <w:style w:type="character" w:customStyle="1" w:styleId="Heading1Char">
    <w:name w:val="Heading 1 Char"/>
    <w:aliases w:val="Chapitre Char,h1 Char,H1 Char,H11 Char,H12 Char,H111 Char,H13 Char,H112 Char,H14 Char,H113 Char,H15 Char,H114 Char,H16 Char,H115 Char,H17 Char,H116 Char,H18 Char,H117 Char,H19 Char,H118 Char,H110 Char,H119 Char,H120 Char,H1110 Char"/>
    <w:basedOn w:val="DefaultParagraphFont"/>
    <w:link w:val="Heading1"/>
    <w:rsid w:val="00031D0A"/>
    <w:rPr>
      <w:rFonts w:asciiTheme="majorHAnsi" w:eastAsiaTheme="majorEastAsia" w:hAnsiTheme="majorHAnsi" w:cstheme="majorBidi"/>
      <w:b/>
      <w:bCs/>
      <w:color w:val="365F91" w:themeColor="accent1" w:themeShade="BF"/>
      <w:sz w:val="28"/>
      <w:szCs w:val="28"/>
      <w:lang w:val="en-GB"/>
    </w:rPr>
  </w:style>
  <w:style w:type="paragraph" w:styleId="BalloonText">
    <w:name w:val="Balloon Text"/>
    <w:basedOn w:val="Normal"/>
    <w:link w:val="BalloonTextChar"/>
    <w:uiPriority w:val="99"/>
    <w:semiHidden/>
    <w:unhideWhenUsed/>
    <w:rsid w:val="00031D0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1D0A"/>
    <w:rPr>
      <w:rFonts w:ascii="Tahoma" w:eastAsia="Times New Roman" w:hAnsi="Tahoma" w:cs="Tahoma"/>
      <w:sz w:val="16"/>
      <w:szCs w:val="16"/>
      <w:lang w:val="ro-RO"/>
    </w:rPr>
  </w:style>
  <w:style w:type="character" w:customStyle="1" w:styleId="Heading2Char">
    <w:name w:val="Heading 2 Char"/>
    <w:basedOn w:val="DefaultParagraphFont"/>
    <w:link w:val="Heading2"/>
    <w:uiPriority w:val="9"/>
    <w:rsid w:val="00031D0A"/>
    <w:rPr>
      <w:rFonts w:asciiTheme="majorHAnsi" w:eastAsiaTheme="majorEastAsia" w:hAnsiTheme="majorHAnsi" w:cstheme="majorBidi"/>
      <w:b/>
      <w:bCs/>
      <w:color w:val="4F81BD" w:themeColor="accent1"/>
      <w:sz w:val="26"/>
      <w:szCs w:val="26"/>
      <w:lang w:val="en-GB"/>
    </w:rPr>
  </w:style>
  <w:style w:type="paragraph" w:styleId="ListParagraph">
    <w:name w:val="List Paragraph"/>
    <w:basedOn w:val="Normal"/>
    <w:uiPriority w:val="34"/>
    <w:qFormat/>
    <w:rsid w:val="00031D0A"/>
    <w:pPr>
      <w:ind w:left="720"/>
      <w:contextualSpacing/>
    </w:pPr>
  </w:style>
  <w:style w:type="table" w:styleId="TableGrid">
    <w:name w:val="Table Grid"/>
    <w:basedOn w:val="TableNormal"/>
    <w:uiPriority w:val="59"/>
    <w:rsid w:val="00D36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C26EB3"/>
    <w:rPr>
      <w:rFonts w:asciiTheme="majorHAnsi" w:eastAsiaTheme="majorEastAsia" w:hAnsiTheme="majorHAnsi" w:cstheme="majorBidi"/>
      <w:b/>
      <w:bCs/>
      <w:color w:val="4F81BD" w:themeColor="accent1"/>
      <w:lang w:val="en-GB"/>
    </w:rPr>
  </w:style>
  <w:style w:type="paragraph" w:styleId="BodyText">
    <w:name w:val="Body Text"/>
    <w:basedOn w:val="Normal"/>
    <w:link w:val="BodyTextChar"/>
    <w:rsid w:val="00434D94"/>
    <w:pPr>
      <w:spacing w:before="200" w:after="120"/>
    </w:pPr>
    <w:rPr>
      <w:rFonts w:ascii="Arial" w:hAnsi="Arial"/>
      <w:noProof w:val="0"/>
      <w:sz w:val="28"/>
      <w:lang w:val="es-ES_tradnl" w:bidi="he-IL"/>
    </w:rPr>
  </w:style>
  <w:style w:type="character" w:customStyle="1" w:styleId="BodyTextChar">
    <w:name w:val="Body Text Char"/>
    <w:basedOn w:val="DefaultParagraphFont"/>
    <w:link w:val="BodyText"/>
    <w:rsid w:val="00434D94"/>
    <w:rPr>
      <w:rFonts w:ascii="Arial" w:eastAsia="Times New Roman" w:hAnsi="Arial" w:cs="Times New Roman"/>
      <w:sz w:val="28"/>
      <w:szCs w:val="20"/>
      <w:lang w:val="es-ES_tradnl"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2003">
      <w:bodyDiv w:val="1"/>
      <w:marLeft w:val="0"/>
      <w:marRight w:val="0"/>
      <w:marTop w:val="0"/>
      <w:marBottom w:val="0"/>
      <w:divBdr>
        <w:top w:val="none" w:sz="0" w:space="0" w:color="auto"/>
        <w:left w:val="none" w:sz="0" w:space="0" w:color="auto"/>
        <w:bottom w:val="none" w:sz="0" w:space="0" w:color="auto"/>
        <w:right w:val="none" w:sz="0" w:space="0" w:color="auto"/>
      </w:divBdr>
    </w:div>
    <w:div w:id="248276555">
      <w:bodyDiv w:val="1"/>
      <w:marLeft w:val="0"/>
      <w:marRight w:val="0"/>
      <w:marTop w:val="0"/>
      <w:marBottom w:val="0"/>
      <w:divBdr>
        <w:top w:val="none" w:sz="0" w:space="0" w:color="auto"/>
        <w:left w:val="none" w:sz="0" w:space="0" w:color="auto"/>
        <w:bottom w:val="none" w:sz="0" w:space="0" w:color="auto"/>
        <w:right w:val="none" w:sz="0" w:space="0" w:color="auto"/>
      </w:divBdr>
    </w:div>
    <w:div w:id="285741205">
      <w:bodyDiv w:val="1"/>
      <w:marLeft w:val="0"/>
      <w:marRight w:val="0"/>
      <w:marTop w:val="0"/>
      <w:marBottom w:val="0"/>
      <w:divBdr>
        <w:top w:val="none" w:sz="0" w:space="0" w:color="auto"/>
        <w:left w:val="none" w:sz="0" w:space="0" w:color="auto"/>
        <w:bottom w:val="none" w:sz="0" w:space="0" w:color="auto"/>
        <w:right w:val="none" w:sz="0" w:space="0" w:color="auto"/>
      </w:divBdr>
    </w:div>
    <w:div w:id="314844606">
      <w:bodyDiv w:val="1"/>
      <w:marLeft w:val="0"/>
      <w:marRight w:val="0"/>
      <w:marTop w:val="0"/>
      <w:marBottom w:val="0"/>
      <w:divBdr>
        <w:top w:val="none" w:sz="0" w:space="0" w:color="auto"/>
        <w:left w:val="none" w:sz="0" w:space="0" w:color="auto"/>
        <w:bottom w:val="none" w:sz="0" w:space="0" w:color="auto"/>
        <w:right w:val="none" w:sz="0" w:space="0" w:color="auto"/>
      </w:divBdr>
    </w:div>
    <w:div w:id="434058516">
      <w:bodyDiv w:val="1"/>
      <w:marLeft w:val="0"/>
      <w:marRight w:val="0"/>
      <w:marTop w:val="0"/>
      <w:marBottom w:val="0"/>
      <w:divBdr>
        <w:top w:val="none" w:sz="0" w:space="0" w:color="auto"/>
        <w:left w:val="none" w:sz="0" w:space="0" w:color="auto"/>
        <w:bottom w:val="none" w:sz="0" w:space="0" w:color="auto"/>
        <w:right w:val="none" w:sz="0" w:space="0" w:color="auto"/>
      </w:divBdr>
    </w:div>
    <w:div w:id="537200044">
      <w:bodyDiv w:val="1"/>
      <w:marLeft w:val="0"/>
      <w:marRight w:val="0"/>
      <w:marTop w:val="0"/>
      <w:marBottom w:val="0"/>
      <w:divBdr>
        <w:top w:val="none" w:sz="0" w:space="0" w:color="auto"/>
        <w:left w:val="none" w:sz="0" w:space="0" w:color="auto"/>
        <w:bottom w:val="none" w:sz="0" w:space="0" w:color="auto"/>
        <w:right w:val="none" w:sz="0" w:space="0" w:color="auto"/>
      </w:divBdr>
    </w:div>
    <w:div w:id="654455255">
      <w:bodyDiv w:val="1"/>
      <w:marLeft w:val="0"/>
      <w:marRight w:val="0"/>
      <w:marTop w:val="0"/>
      <w:marBottom w:val="0"/>
      <w:divBdr>
        <w:top w:val="none" w:sz="0" w:space="0" w:color="auto"/>
        <w:left w:val="none" w:sz="0" w:space="0" w:color="auto"/>
        <w:bottom w:val="none" w:sz="0" w:space="0" w:color="auto"/>
        <w:right w:val="none" w:sz="0" w:space="0" w:color="auto"/>
      </w:divBdr>
    </w:div>
    <w:div w:id="664748372">
      <w:bodyDiv w:val="1"/>
      <w:marLeft w:val="0"/>
      <w:marRight w:val="0"/>
      <w:marTop w:val="0"/>
      <w:marBottom w:val="0"/>
      <w:divBdr>
        <w:top w:val="none" w:sz="0" w:space="0" w:color="auto"/>
        <w:left w:val="none" w:sz="0" w:space="0" w:color="auto"/>
        <w:bottom w:val="none" w:sz="0" w:space="0" w:color="auto"/>
        <w:right w:val="none" w:sz="0" w:space="0" w:color="auto"/>
      </w:divBdr>
    </w:div>
    <w:div w:id="803234735">
      <w:bodyDiv w:val="1"/>
      <w:marLeft w:val="0"/>
      <w:marRight w:val="0"/>
      <w:marTop w:val="0"/>
      <w:marBottom w:val="0"/>
      <w:divBdr>
        <w:top w:val="none" w:sz="0" w:space="0" w:color="auto"/>
        <w:left w:val="none" w:sz="0" w:space="0" w:color="auto"/>
        <w:bottom w:val="none" w:sz="0" w:space="0" w:color="auto"/>
        <w:right w:val="none" w:sz="0" w:space="0" w:color="auto"/>
      </w:divBdr>
    </w:div>
    <w:div w:id="876039430">
      <w:bodyDiv w:val="1"/>
      <w:marLeft w:val="0"/>
      <w:marRight w:val="0"/>
      <w:marTop w:val="0"/>
      <w:marBottom w:val="0"/>
      <w:divBdr>
        <w:top w:val="none" w:sz="0" w:space="0" w:color="auto"/>
        <w:left w:val="none" w:sz="0" w:space="0" w:color="auto"/>
        <w:bottom w:val="none" w:sz="0" w:space="0" w:color="auto"/>
        <w:right w:val="none" w:sz="0" w:space="0" w:color="auto"/>
      </w:divBdr>
    </w:div>
    <w:div w:id="882593155">
      <w:bodyDiv w:val="1"/>
      <w:marLeft w:val="0"/>
      <w:marRight w:val="0"/>
      <w:marTop w:val="0"/>
      <w:marBottom w:val="0"/>
      <w:divBdr>
        <w:top w:val="none" w:sz="0" w:space="0" w:color="auto"/>
        <w:left w:val="none" w:sz="0" w:space="0" w:color="auto"/>
        <w:bottom w:val="none" w:sz="0" w:space="0" w:color="auto"/>
        <w:right w:val="none" w:sz="0" w:space="0" w:color="auto"/>
      </w:divBdr>
    </w:div>
    <w:div w:id="1030570634">
      <w:bodyDiv w:val="1"/>
      <w:marLeft w:val="0"/>
      <w:marRight w:val="0"/>
      <w:marTop w:val="0"/>
      <w:marBottom w:val="0"/>
      <w:divBdr>
        <w:top w:val="none" w:sz="0" w:space="0" w:color="auto"/>
        <w:left w:val="none" w:sz="0" w:space="0" w:color="auto"/>
        <w:bottom w:val="none" w:sz="0" w:space="0" w:color="auto"/>
        <w:right w:val="none" w:sz="0" w:space="0" w:color="auto"/>
      </w:divBdr>
    </w:div>
    <w:div w:id="1064989994">
      <w:bodyDiv w:val="1"/>
      <w:marLeft w:val="0"/>
      <w:marRight w:val="0"/>
      <w:marTop w:val="0"/>
      <w:marBottom w:val="0"/>
      <w:divBdr>
        <w:top w:val="none" w:sz="0" w:space="0" w:color="auto"/>
        <w:left w:val="none" w:sz="0" w:space="0" w:color="auto"/>
        <w:bottom w:val="none" w:sz="0" w:space="0" w:color="auto"/>
        <w:right w:val="none" w:sz="0" w:space="0" w:color="auto"/>
      </w:divBdr>
    </w:div>
    <w:div w:id="1144154112">
      <w:bodyDiv w:val="1"/>
      <w:marLeft w:val="0"/>
      <w:marRight w:val="0"/>
      <w:marTop w:val="0"/>
      <w:marBottom w:val="0"/>
      <w:divBdr>
        <w:top w:val="none" w:sz="0" w:space="0" w:color="auto"/>
        <w:left w:val="none" w:sz="0" w:space="0" w:color="auto"/>
        <w:bottom w:val="none" w:sz="0" w:space="0" w:color="auto"/>
        <w:right w:val="none" w:sz="0" w:space="0" w:color="auto"/>
      </w:divBdr>
    </w:div>
    <w:div w:id="1509366345">
      <w:bodyDiv w:val="1"/>
      <w:marLeft w:val="0"/>
      <w:marRight w:val="0"/>
      <w:marTop w:val="0"/>
      <w:marBottom w:val="0"/>
      <w:divBdr>
        <w:top w:val="none" w:sz="0" w:space="0" w:color="auto"/>
        <w:left w:val="none" w:sz="0" w:space="0" w:color="auto"/>
        <w:bottom w:val="none" w:sz="0" w:space="0" w:color="auto"/>
        <w:right w:val="none" w:sz="0" w:space="0" w:color="auto"/>
      </w:divBdr>
    </w:div>
    <w:div w:id="1533108425">
      <w:bodyDiv w:val="1"/>
      <w:marLeft w:val="0"/>
      <w:marRight w:val="0"/>
      <w:marTop w:val="0"/>
      <w:marBottom w:val="0"/>
      <w:divBdr>
        <w:top w:val="none" w:sz="0" w:space="0" w:color="auto"/>
        <w:left w:val="none" w:sz="0" w:space="0" w:color="auto"/>
        <w:bottom w:val="none" w:sz="0" w:space="0" w:color="auto"/>
        <w:right w:val="none" w:sz="0" w:space="0" w:color="auto"/>
      </w:divBdr>
    </w:div>
    <w:div w:id="1847748578">
      <w:bodyDiv w:val="1"/>
      <w:marLeft w:val="0"/>
      <w:marRight w:val="0"/>
      <w:marTop w:val="0"/>
      <w:marBottom w:val="0"/>
      <w:divBdr>
        <w:top w:val="none" w:sz="0" w:space="0" w:color="auto"/>
        <w:left w:val="none" w:sz="0" w:space="0" w:color="auto"/>
        <w:bottom w:val="none" w:sz="0" w:space="0" w:color="auto"/>
        <w:right w:val="none" w:sz="0" w:space="0" w:color="auto"/>
      </w:divBdr>
    </w:div>
    <w:div w:id="1929457563">
      <w:bodyDiv w:val="1"/>
      <w:marLeft w:val="0"/>
      <w:marRight w:val="0"/>
      <w:marTop w:val="0"/>
      <w:marBottom w:val="0"/>
      <w:divBdr>
        <w:top w:val="none" w:sz="0" w:space="0" w:color="auto"/>
        <w:left w:val="none" w:sz="0" w:space="0" w:color="auto"/>
        <w:bottom w:val="none" w:sz="0" w:space="0" w:color="auto"/>
        <w:right w:val="none" w:sz="0" w:space="0" w:color="auto"/>
      </w:divBdr>
    </w:div>
    <w:div w:id="1971551114">
      <w:bodyDiv w:val="1"/>
      <w:marLeft w:val="0"/>
      <w:marRight w:val="0"/>
      <w:marTop w:val="0"/>
      <w:marBottom w:val="0"/>
      <w:divBdr>
        <w:top w:val="none" w:sz="0" w:space="0" w:color="auto"/>
        <w:left w:val="none" w:sz="0" w:space="0" w:color="auto"/>
        <w:bottom w:val="none" w:sz="0" w:space="0" w:color="auto"/>
        <w:right w:val="none" w:sz="0" w:space="0" w:color="auto"/>
      </w:divBdr>
    </w:div>
    <w:div w:id="202794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4</Pages>
  <Words>645</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Best</dc:creator>
  <cp:lastModifiedBy>Cornelia</cp:lastModifiedBy>
  <cp:revision>33</cp:revision>
  <dcterms:created xsi:type="dcterms:W3CDTF">2014-09-02T10:53:00Z</dcterms:created>
  <dcterms:modified xsi:type="dcterms:W3CDTF">2015-04-29T06:18:00Z</dcterms:modified>
</cp:coreProperties>
</file>