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93" w:rsidRDefault="00921393" w:rsidP="00921393">
      <w:pPr>
        <w:jc w:val="center"/>
        <w:rPr>
          <w:b/>
          <w:sz w:val="28"/>
          <w:szCs w:val="28"/>
          <w:lang w:val="en-US"/>
        </w:rPr>
      </w:pPr>
    </w:p>
    <w:p w:rsidR="00357B13" w:rsidRDefault="00921393" w:rsidP="00921393">
      <w:pPr>
        <w:jc w:val="center"/>
        <w:rPr>
          <w:b/>
          <w:sz w:val="28"/>
          <w:szCs w:val="28"/>
          <w:lang w:val="en-US"/>
        </w:rPr>
      </w:pPr>
      <w:proofErr w:type="spellStart"/>
      <w:r w:rsidRPr="00921393">
        <w:rPr>
          <w:b/>
          <w:sz w:val="28"/>
          <w:szCs w:val="28"/>
          <w:lang w:val="en-US"/>
        </w:rPr>
        <w:t>Lista</w:t>
      </w:r>
      <w:proofErr w:type="spellEnd"/>
      <w:r w:rsidRPr="00921393">
        <w:rPr>
          <w:b/>
          <w:sz w:val="28"/>
          <w:szCs w:val="28"/>
          <w:lang w:val="en-US"/>
        </w:rPr>
        <w:t xml:space="preserve"> </w:t>
      </w:r>
      <w:proofErr w:type="spellStart"/>
      <w:r w:rsidRPr="00921393">
        <w:rPr>
          <w:b/>
          <w:sz w:val="28"/>
          <w:szCs w:val="28"/>
          <w:lang w:val="en-US"/>
        </w:rPr>
        <w:t>Abrevieri</w:t>
      </w:r>
      <w:proofErr w:type="spellEnd"/>
      <w:r w:rsidRPr="00921393">
        <w:rPr>
          <w:b/>
          <w:sz w:val="28"/>
          <w:szCs w:val="28"/>
          <w:lang w:val="en-US"/>
        </w:rPr>
        <w:t xml:space="preserve"> –ACB Arad</w:t>
      </w:r>
    </w:p>
    <w:p w:rsidR="00921393" w:rsidRDefault="00921393" w:rsidP="00921393">
      <w:pPr>
        <w:jc w:val="center"/>
        <w:rPr>
          <w:b/>
          <w:sz w:val="28"/>
          <w:szCs w:val="28"/>
          <w:lang w:val="en-US"/>
        </w:rPr>
      </w:pPr>
    </w:p>
    <w:tbl>
      <w:tblPr>
        <w:tblW w:w="9322" w:type="dxa"/>
        <w:shd w:val="clear" w:color="auto" w:fill="FFFFFF"/>
        <w:tblLook w:val="01E0"/>
      </w:tblPr>
      <w:tblGrid>
        <w:gridCol w:w="1908"/>
        <w:gridCol w:w="7414"/>
      </w:tblGrid>
      <w:tr w:rsidR="00921393" w:rsidRPr="00F63697" w:rsidTr="00932C51">
        <w:tc>
          <w:tcPr>
            <w:tcW w:w="1908" w:type="dxa"/>
            <w:tcBorders>
              <w:bottom w:val="single" w:sz="6" w:space="0" w:color="000000"/>
            </w:tcBorders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  <w:i/>
                <w:iCs/>
              </w:rPr>
            </w:pPr>
            <w:r w:rsidRPr="00F63697">
              <w:rPr>
                <w:b/>
                <w:bCs/>
                <w:i/>
                <w:iCs/>
              </w:rPr>
              <w:t>CBA</w:t>
            </w:r>
          </w:p>
        </w:tc>
        <w:tc>
          <w:tcPr>
            <w:tcW w:w="7414" w:type="dxa"/>
            <w:tcBorders>
              <w:bottom w:val="single" w:sz="6" w:space="0" w:color="000000"/>
            </w:tcBorders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Analiza Cost Beneficiu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>
              <w:rPr>
                <w:b/>
                <w:bCs/>
              </w:rPr>
              <w:t>FC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rPr>
                <w:szCs w:val="20"/>
              </w:rPr>
              <w:t>Fond de Coeziune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CNP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Comisia Nationala de Prognoza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CRPA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rPr>
                <w:lang w:eastAsia="en-GB"/>
              </w:rPr>
              <w:t>Rata maxima de cofinantare a UE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DA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Suma de decizie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EBIT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21393">
            <w:r>
              <w:t>Castiguri inainte de dobanzi si impozite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EBITDA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21393">
            <w:r>
              <w:t>Castiguri inainte de dobanzi, impozite si amortizari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EBT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B33643">
            <w:r>
              <w:t>Castiguri inainte deimpozitare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>
              <w:rPr>
                <w:b/>
                <w:bCs/>
              </w:rPr>
              <w:t>EC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Costuri eligibile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E&amp;M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B33643" w:rsidP="00921393">
            <w:r>
              <w:t xml:space="preserve">Echipamente </w:t>
            </w:r>
            <w:r w:rsidR="00921393" w:rsidRPr="00F63697">
              <w:t>Electro-mec</w:t>
            </w:r>
            <w:r w:rsidR="00921393">
              <w:t>anice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D47B28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ENPV</w:t>
            </w:r>
            <w:r w:rsidR="00B33643">
              <w:rPr>
                <w:b/>
                <w:bCs/>
              </w:rPr>
              <w:t>, VAN E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Valoare actualizata neta-economica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655ACF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ERR</w:t>
            </w:r>
            <w:r w:rsidR="00655ACF">
              <w:rPr>
                <w:b/>
                <w:bCs/>
              </w:rPr>
              <w:t>, R</w:t>
            </w:r>
            <w:r w:rsidR="00B33643">
              <w:rPr>
                <w:b/>
                <w:bCs/>
              </w:rPr>
              <w:t>E</w:t>
            </w:r>
            <w:r w:rsidR="00655ACF">
              <w:rPr>
                <w:b/>
                <w:bCs/>
              </w:rPr>
              <w:t>R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Rata economica de rentabilitate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FNPV</w:t>
            </w:r>
            <w:r w:rsidR="00B33643">
              <w:rPr>
                <w:b/>
                <w:bCs/>
              </w:rPr>
              <w:t>, VAN F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Valoare actualizata neta financiara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FNPV/C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Valoare actualizata neta a investitiei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FNPV/K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Valoare actualizata neta a capitalului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FRR</w:t>
            </w:r>
            <w:r w:rsidR="00B33643">
              <w:rPr>
                <w:b/>
                <w:bCs/>
              </w:rPr>
              <w:t>/R</w:t>
            </w:r>
            <w:r w:rsidR="00697022">
              <w:rPr>
                <w:b/>
                <w:bCs/>
              </w:rPr>
              <w:t>FR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Rata financiara de rentabilitate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FRR/C</w:t>
            </w:r>
            <w:r w:rsidR="00B33643">
              <w:rPr>
                <w:b/>
                <w:bCs/>
              </w:rPr>
              <w:t>, RIRF/C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Rata financiara de rentabilitate a investitiei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FRR/K</w:t>
            </w:r>
            <w:r w:rsidR="00B33643">
              <w:rPr>
                <w:b/>
                <w:bCs/>
              </w:rPr>
              <w:t>, RIRF/K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Rata financiara de rentabilitate a capitalului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NPV</w:t>
            </w:r>
            <w:r>
              <w:rPr>
                <w:b/>
                <w:bCs/>
              </w:rPr>
              <w:t>/VAN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32C51">
            <w:r>
              <w:t>Valoare actualizata neta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OM&amp;A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921393" w:rsidP="00921393">
            <w:r>
              <w:t>Costuri de operare intretinere si administrare</w:t>
            </w:r>
          </w:p>
        </w:tc>
      </w:tr>
      <w:tr w:rsidR="00921393" w:rsidRPr="00F63697" w:rsidTr="00932C51">
        <w:tc>
          <w:tcPr>
            <w:tcW w:w="1908" w:type="dxa"/>
            <w:shd w:val="clear" w:color="auto" w:fill="FFFFFF"/>
            <w:vAlign w:val="bottom"/>
          </w:tcPr>
          <w:p w:rsidR="00921393" w:rsidRPr="00F63697" w:rsidRDefault="00921393" w:rsidP="00932C51">
            <w:pPr>
              <w:rPr>
                <w:b/>
                <w:bCs/>
              </w:rPr>
            </w:pPr>
            <w:r w:rsidRPr="00F63697">
              <w:rPr>
                <w:b/>
                <w:bCs/>
              </w:rPr>
              <w:t>SDR</w:t>
            </w:r>
          </w:p>
        </w:tc>
        <w:tc>
          <w:tcPr>
            <w:tcW w:w="7414" w:type="dxa"/>
            <w:shd w:val="clear" w:color="auto" w:fill="FFFFFF"/>
            <w:vAlign w:val="bottom"/>
          </w:tcPr>
          <w:p w:rsidR="00921393" w:rsidRPr="00F63697" w:rsidRDefault="00B33643" w:rsidP="00932C51">
            <w:r>
              <w:t>Rata sociala de actualizare</w:t>
            </w:r>
          </w:p>
        </w:tc>
      </w:tr>
    </w:tbl>
    <w:p w:rsidR="00921393" w:rsidRPr="00921393" w:rsidRDefault="00921393" w:rsidP="00921393">
      <w:pPr>
        <w:jc w:val="center"/>
        <w:rPr>
          <w:b/>
          <w:sz w:val="28"/>
          <w:szCs w:val="28"/>
          <w:lang w:val="en-US"/>
        </w:rPr>
      </w:pPr>
    </w:p>
    <w:sectPr w:rsidR="00921393" w:rsidRPr="00921393" w:rsidSect="00357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1393"/>
    <w:rsid w:val="00151FAA"/>
    <w:rsid w:val="00357B13"/>
    <w:rsid w:val="00393BD7"/>
    <w:rsid w:val="00405E17"/>
    <w:rsid w:val="00655ACF"/>
    <w:rsid w:val="00697022"/>
    <w:rsid w:val="00921393"/>
    <w:rsid w:val="00B33643"/>
    <w:rsid w:val="00D47B28"/>
    <w:rsid w:val="00DA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B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3">
    <w:name w:val="Style3"/>
    <w:basedOn w:val="TableElegant"/>
    <w:uiPriority w:val="99"/>
    <w:qFormat/>
    <w:rsid w:val="00151FA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uiPriority w:val="99"/>
    <w:semiHidden/>
    <w:unhideWhenUsed/>
    <w:rsid w:val="00151F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Nicolescu</dc:creator>
  <cp:lastModifiedBy>Valentina Nicolescu</cp:lastModifiedBy>
  <cp:revision>4</cp:revision>
  <dcterms:created xsi:type="dcterms:W3CDTF">2014-12-05T14:13:00Z</dcterms:created>
  <dcterms:modified xsi:type="dcterms:W3CDTF">2014-12-05T14:45:00Z</dcterms:modified>
</cp:coreProperties>
</file>